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Arial" w:hAnsi="Arial"/>
          <w:b/>
          <w:color w:val="102C57"/>
          <w:sz w:val="36"/>
        </w:rPr>
        <w:t>PART 6: QUẢN LÝ KHÓ TIÊU CHỨC NĂNG (FD) &amp; LOÉT DÀY DÀY DÙNG NSAID/ASPIRIN</w:t>
      </w:r>
    </w:p>
    <w:p>
      <w:pPr>
        <w:spacing w:before="40" w:after="80"/>
      </w:pPr>
      <w:r>
        <w:rPr>
          <w:rFonts w:ascii="Calibri" w:hAnsi="Calibri"/>
          <w:sz w:val="22"/>
        </w:rPr>
        <w:t>**Bài học:** Bệnh Loét Dạ Dày–Tá Tràng (PUD), GERD và Khó Tiêu (IM-37)</w:t>
      </w:r>
    </w:p>
    <w:p>
      <w:pPr>
        <w:spacing w:before="40" w:after="80"/>
      </w:pPr>
      <w:r>
        <w:rPr>
          <w:rFonts w:ascii="Calibri" w:hAnsi="Calibri"/>
          <w:sz w:val="22"/>
        </w:rPr>
        <w:t>**Chuyên khoa:** Nội khoa — Tiêu hóa</w:t>
      </w:r>
    </w:p>
    <w:p>
      <w:pPr>
        <w:spacing w:before="40" w:after="80"/>
      </w:pPr>
      <w:r>
        <w:rPr>
          <w:rFonts w:ascii="Calibri" w:hAnsi="Calibri"/>
          <w:sz w:val="22"/>
        </w:rPr>
        <w:t>**Đối tượng:** Bác sĩ tuyến tỉnh, bác sĩ tổng quát, học viên sau đại học và người học cần xây dựng lại nền tảng lâm sàng vững chắc.</w:t>
      </w:r>
    </w:p>
    <w:p>
      <w:pPr>
        <w:spacing w:before="40" w:after="80"/>
      </w:pPr>
      <w:r>
        <w:rPr>
          <w:rFonts w:ascii="Calibri" w:hAnsi="Calibri"/>
          <w:sz w:val="22"/>
        </w:rPr>
        <w:t>---</w:t>
      </w:r>
    </w:p>
    <w:p>
      <w:pPr>
        <w:spacing w:before="200" w:after="80"/>
      </w:pPr>
      <w:r>
        <w:rPr>
          <w:rFonts w:ascii="Arial" w:hAnsi="Arial"/>
          <w:b/>
          <w:color w:val="1C6EA4"/>
          <w:sz w:val="28"/>
        </w:rPr>
        <w:t>1. KHÓ TIÊU CHỨC NĂNG (FUNCTIONAL DYSPEPSIA — FD) THEO TIÊU CHUẨN ROME IV</w:t>
      </w:r>
    </w:p>
    <w:p>
      <w:pPr>
        <w:spacing w:before="40" w:after="80"/>
      </w:pPr>
      <w:r>
        <w:rPr>
          <w:rFonts w:ascii="Calibri" w:hAnsi="Calibri"/>
          <w:sz w:val="22"/>
        </w:rPr>
        <w:t>Khó tiêu chức năng (FD) được định nghĩa là sự xuất hiện của các triệu chứng khó tiêu **kéo dài ít nhất 3 tháng (khởi phát ít nhất 6 tháng trước chẩn đoán)** mà **không tìm thấy tổn thương cấu trúc/thực thể** qua nội soi tiêu hóa trên. (PMID: 28631728) [GUIDELINE VERIFIED]</w:t>
      </w:r>
    </w:p>
    <w:p>
      <w:pPr>
        <w:spacing w:before="80" w:after="80"/>
        <w:shd w:fill="F4F4F4"/>
      </w:pPr>
      <w:r>
        <w:rPr>
          <w:rFonts w:ascii="Consolas" w:hAnsi="Consolas"/>
          <w:color w:val="282828"/>
          <w:sz w:val="19"/>
        </w:rPr>
        <w:t>┌─────────────────────────────────────────────────────────────────────────────┐</w:t>
        <w:br/>
        <w:t>│             PHÂN LOẠI 2 THỂ LÂM SÀNG KHÓ TIÊU CHỨC NĂNG (ROME IV)            │</w:t>
        <w:br/>
        <w:t>├─────────────────────────────────────────────────────────────────────────────┤</w:t>
        <w:br/>
        <w:t>│ 1. Hội chứng Khó chịu sau ăn (PDS - Postprandial Distress Syndrome):        │</w:t>
        <w:br/>
        <w:t>│    👉 Triệu chứng chính: Đầy bụng sau ăn, no sớm (không ăn hết suất ăn).    │</w:t>
        <w:br/>
        <w:t>│    👉 Sinh lý bệnh: Chậm tống xuất dạ dày, rối loạn giảm trương lực vị giác. │</w:t>
        <w:br/>
        <w:t>│                                                                             │</w:t>
        <w:br/>
        <w:t>│ 2. Hội chứng Đau thượng vị (EPS - Epigastric Pain Syndrome):                │</w:t>
        <w:br/>
        <w:t>│    👉 Triệu chứng chính: Đau hoặc nóng rát vùng thượng vị (không lan).       │</w:t>
        <w:br/>
        <w:t>│    👉 Sinh lý bệnh: Tăng nhạy cảm tạng với acid dạ dày, rối loạn niêm mạc.   │</w:t>
        <w:br/>
        <w:t>└─────────────────────────────────────────────────────────────────────────────┘</w:t>
      </w:r>
    </w:p>
    <w:p>
      <w:pPr>
        <w:spacing w:before="40" w:after="80"/>
      </w:pPr>
      <w:r>
        <w:rPr>
          <w:rFonts w:ascii="Calibri" w:hAnsi="Calibri"/>
          <w:sz w:val="22"/>
        </w:rPr>
        <w:t>---</w:t>
      </w:r>
    </w:p>
    <w:p>
      <w:pPr>
        <w:spacing w:before="200" w:after="80"/>
      </w:pPr>
      <w:r>
        <w:rPr>
          <w:rFonts w:ascii="Arial" w:hAnsi="Arial"/>
          <w:b/>
          <w:color w:val="1C6EA4"/>
          <w:sz w:val="28"/>
        </w:rPr>
        <w:t>2. PHÁC ĐỒ ĐIỀU TRỊ KHÓ TIÊU CHỨC NĂNG (FD) THEO ACG/CAG 2017</w:t>
      </w:r>
    </w:p>
    <w:p>
      <w:pPr>
        <w:spacing w:before="40" w:after="80"/>
      </w:pPr>
      <w:r>
        <w:rPr>
          <w:rFonts w:ascii="Calibri" w:hAnsi="Calibri"/>
          <w:sz w:val="22"/>
        </w:rPr>
        <w:t>Theo Khuyến cáo của Hội Tiêu hóa Hoa Kỳ &amp; Canada (ACG/CAG 2017): (PMID: 28631728) [GUIDELINE VERIFIED]</w:t>
      </w:r>
    </w:p>
    <w:p>
      <w:pPr>
        <w:spacing w:before="160" w:after="60"/>
      </w:pPr>
      <w:r>
        <w:rPr>
          <w:rFonts w:ascii="Arial" w:hAnsi="Arial"/>
          <w:b/>
          <w:color w:val="282828"/>
          <w:sz w:val="24"/>
        </w:rPr>
        <w:t>2.1 Bước 1: Tiệt trừ *Helicobacter pylori* (H. pylori test-and-treat)</w:t>
      </w:r>
    </w:p>
    <w:p>
      <w:pPr>
        <w:pStyle w:val="ListBullet"/>
        <w:spacing w:before="40" w:after="40"/>
      </w:pPr>
      <w:r>
        <w:rPr>
          <w:rFonts w:ascii="Calibri" w:hAnsi="Calibri"/>
          <w:sz w:val="22"/>
        </w:rPr>
        <w:t>Bệnh nhân FD có $H. pylori (+)$ **bắt buộc phải được tiệt trừ *H. pylori*** đầu tiên.</w:t>
      </w:r>
    </w:p>
    <w:p>
      <w:pPr>
        <w:pStyle w:val="ListBullet"/>
        <w:spacing w:before="40" w:after="40"/>
      </w:pPr>
      <w:r>
        <w:rPr>
          <w:rFonts w:ascii="Calibri" w:hAnsi="Calibri"/>
          <w:sz w:val="22"/>
        </w:rPr>
        <w:t>Tiệt trừ thành công giúp chữa khỏi triệu chứng khó tiêu ở 1/12.5 bệnh nhân (NNT = 12.5) và đưa họ ra khỏi nhóm khó tiêu chức năng.</w:t>
      </w:r>
    </w:p>
    <w:p>
      <w:pPr>
        <w:spacing w:before="160" w:after="60"/>
      </w:pPr>
      <w:r>
        <w:rPr>
          <w:rFonts w:ascii="Arial" w:hAnsi="Arial"/>
          <w:b/>
          <w:color w:val="282828"/>
          <w:sz w:val="24"/>
        </w:rPr>
        <w:t>2.2 Bước 2: Phụ thuộc vào Thể lâm sàng (PDS vs. EPS):</w:t>
      </w:r>
    </w:p>
    <w:p>
      <w:pPr>
        <w:spacing w:before="40" w:after="80"/>
      </w:pPr>
      <w:r>
        <w:rPr>
          <w:rFonts w:ascii="Calibri" w:hAnsi="Calibri"/>
          <w:sz w:val="22"/>
        </w:rPr>
        <w:t>#### 🔹 Trường hợp 1: Thể Đau Thượng vị (EPS)</w:t>
      </w:r>
    </w:p>
    <w:p>
      <w:pPr>
        <w:pStyle w:val="ListBullet"/>
        <w:spacing w:before="40" w:after="40"/>
      </w:pPr>
      <w:r>
        <w:rPr>
          <w:rFonts w:ascii="Calibri" w:hAnsi="Calibri"/>
          <w:sz w:val="22"/>
        </w:rPr>
        <w:t>**Lựa chọn hàng đầu:** **PPI liều chuẩn x 4–8 tuần** (Esomeprazole 20-40mg/ngày, Rabeprazole 20mg/ngày). (PMID: 28631728) [GUIDELINE VERIFIED]</w:t>
      </w:r>
    </w:p>
    <w:p>
      <w:pPr>
        <w:pStyle w:val="ListBullet"/>
        <w:spacing w:before="40" w:after="40"/>
      </w:pPr>
      <w:r>
        <w:rPr>
          <w:rFonts w:ascii="Calibri" w:hAnsi="Calibri"/>
          <w:sz w:val="22"/>
        </w:rPr>
        <w:t>**Nếu thất bại với PPI:** Chuyển sang **Thuốc điều hòa thần kinh (Neuromodulators)**:</w:t>
      </w:r>
    </w:p>
    <w:p>
      <w:pPr>
        <w:pStyle w:val="ListBullet"/>
        <w:spacing w:before="40" w:after="40"/>
      </w:pPr>
      <w:r>
        <w:rPr>
          <w:rFonts w:ascii="Calibri" w:hAnsi="Calibri"/>
          <w:sz w:val="22"/>
        </w:rPr>
        <w:t>**TCA liều thấp:** Amitriptyline **10–25 mg/đêm** (uống trước ngủ). (PMID: 25921377) [FULL VERIFIED]</w:t>
      </w:r>
    </w:p>
    <w:p>
      <w:pPr>
        <w:pStyle w:val="ListBullet"/>
        <w:spacing w:before="40" w:after="40"/>
      </w:pPr>
      <w:r>
        <w:rPr>
          <w:rFonts w:ascii="Calibri" w:hAnsi="Calibri"/>
          <w:sz w:val="22"/>
        </w:rPr>
        <w:t>*Lưu ý:* Tránh dùng SSRI (Escitalopram/Fluoxetine) vì không có hiệu quả cải thiện đau thượng vị trong FD.</w:t>
      </w:r>
    </w:p>
    <w:p>
      <w:pPr>
        <w:spacing w:before="40" w:after="80"/>
      </w:pPr>
      <w:r>
        <w:rPr>
          <w:rFonts w:ascii="Calibri" w:hAnsi="Calibri"/>
          <w:sz w:val="22"/>
        </w:rPr>
        <w:t>#### 🔹 Trường hợp 2: Thể Khó chịu Sau ăn (PDS)</w:t>
      </w:r>
    </w:p>
    <w:p>
      <w:pPr>
        <w:pStyle w:val="ListBullet"/>
        <w:spacing w:before="40" w:after="40"/>
      </w:pPr>
      <w:r>
        <w:rPr>
          <w:rFonts w:ascii="Calibri" w:hAnsi="Calibri"/>
          <w:sz w:val="22"/>
        </w:rPr>
        <w:t>**Lựa chọn hàng đầu:** **Thuốc thúc đẩy động lực dạ dày (Prokinetics) x 4–8 tuần**:</w:t>
      </w:r>
    </w:p>
    <w:p>
      <w:pPr>
        <w:pStyle w:val="ListBullet"/>
        <w:spacing w:before="40" w:after="40"/>
      </w:pPr>
      <w:r>
        <w:rPr>
          <w:rFonts w:ascii="Calibri" w:hAnsi="Calibri"/>
          <w:sz w:val="22"/>
        </w:rPr>
        <w:t>**Itopride 50mg:** 1 viên x 3 lần/ngày (uống trước ăn 15–30 phút).</w:t>
      </w:r>
    </w:p>
    <w:p>
      <w:pPr>
        <w:pStyle w:val="ListBullet"/>
        <w:spacing w:before="40" w:after="40"/>
      </w:pPr>
      <w:r>
        <w:rPr>
          <w:rFonts w:ascii="Calibri" w:hAnsi="Calibri"/>
          <w:sz w:val="22"/>
        </w:rPr>
        <w:t>**Mosapride 5mg:** 1 viên x 3 lần/ngày.</w:t>
      </w:r>
    </w:p>
    <w:p>
      <w:pPr>
        <w:pStyle w:val="ListBullet"/>
        <w:spacing w:before="40" w:after="40"/>
      </w:pPr>
      <w:r>
        <w:rPr>
          <w:rFonts w:ascii="Calibri" w:hAnsi="Calibri"/>
          <w:sz w:val="22"/>
        </w:rPr>
        <w:t>**Nếu phối hợp PDS + EPS:** Dùng kết hợp **PPI liều chuẩn + Prokinetic** trước bữa ăn.</w:t>
      </w:r>
    </w:p>
    <w:p>
      <w:pPr>
        <w:spacing w:before="40" w:after="80"/>
      </w:pPr>
      <w:r>
        <w:rPr>
          <w:rFonts w:ascii="Calibri" w:hAnsi="Calibri"/>
          <w:sz w:val="22"/>
        </w:rPr>
        <w:t>---</w:t>
      </w:r>
    </w:p>
    <w:p>
      <w:pPr>
        <w:spacing w:before="200" w:after="80"/>
      </w:pPr>
      <w:r>
        <w:rPr>
          <w:rFonts w:ascii="Arial" w:hAnsi="Arial"/>
          <w:b/>
          <w:color w:val="1C6EA4"/>
          <w:sz w:val="28"/>
        </w:rPr>
        <w:t>3. LOÉT DẠ DÀY – TÁ TRÀNG DO THUỐC NSAID &amp; ASPIRIN</w:t>
      </w:r>
    </w:p>
    <w:p>
      <w:pPr>
        <w:spacing w:before="40" w:after="80"/>
      </w:pPr>
      <w:r>
        <w:rPr>
          <w:rFonts w:ascii="Calibri" w:hAnsi="Calibri"/>
          <w:sz w:val="22"/>
        </w:rPr>
        <w:t>NSAID và Aspirin gây độc tính niêm mạc qua 2 cơ chế: **Tác dụng tại chỗ (bẫy ion acid)** và **Tác dụng toàn thân (ức chế COX-1 làm giảm tổng hợp Prostaglandin $PGE_2/PGI_2$)**. (PMID: 19240698) [GUIDELINE VERIFIED]</w:t>
      </w:r>
    </w:p>
    <w:p>
      <w:pPr>
        <w:spacing w:before="160" w:after="60"/>
      </w:pPr>
      <w:r>
        <w:rPr>
          <w:rFonts w:ascii="Arial" w:hAnsi="Arial"/>
          <w:b/>
          <w:color w:val="282828"/>
          <w:sz w:val="24"/>
        </w:rPr>
        <w:t>3.1 Ma trận Phân tầng Nguy cơ Tiêu hóa &amp; Tim mạch (ACG Guidelines):</w:t>
      </w:r>
    </w:p>
    <w:p>
      <w:pPr>
        <w:spacing w:before="40" w:after="80"/>
      </w:pPr>
      <w:r>
        <w:rPr>
          <w:rFonts w:ascii="Calibri" w:hAnsi="Calibri"/>
          <w:sz w:val="22"/>
        </w:rPr>
        <w:t>Khi cần kê đơn NSAID cho bệnh nhân có bệnh lý xương khớp, bác sĩ bắt buộc phải đánh giá 2 trục nguy cơ: (PMID: 19240698, PMID: 28410791) [GUIDELINE/FULL VERIFIED]</w:t>
      </w:r>
    </w:p>
    <w:p>
      <w:pPr>
        <w:spacing w:before="40" w:after="80"/>
      </w:pPr>
      <w:r>
        <w:rPr>
          <w:rFonts w:ascii="Calibri" w:hAnsi="Calibri"/>
          <w:sz w:val="22"/>
        </w:rPr>
        <w:t>| Nguy cơ Tim mạch | Nguy cơ Tiêu hóa Thấp | Nguy cơ Tiêu hóa Trung bình | Nguy cơ Tiêu hóa Cao (Có tiền sử loét/chảy máu) |</w:t>
      </w:r>
    </w:p>
    <w:p>
      <w:pPr>
        <w:spacing w:before="40" w:after="80"/>
      </w:pPr>
      <w:r>
        <w:rPr>
          <w:rFonts w:ascii="Calibri" w:hAnsi="Calibri"/>
          <w:sz w:val="22"/>
        </w:rPr>
        <w:t>|---|---|---|---|</w:t>
      </w:r>
    </w:p>
    <w:p>
      <w:pPr>
        <w:spacing w:before="40" w:after="80"/>
      </w:pPr>
      <w:r>
        <w:rPr>
          <w:rFonts w:ascii="Calibri" w:hAnsi="Calibri"/>
          <w:sz w:val="22"/>
        </w:rPr>
        <w:t>| **Tim mạch Thấp** | NSAID truyền thống đơn độc (Naproxen/Ibuprofen) | NSAID truyền thống + PPI **HOẶC** COX-2 inhibitor đơn độc | **COX-2 inhibitor + PPI** |</w:t>
      </w:r>
    </w:p>
    <w:p>
      <w:pPr>
        <w:spacing w:before="40" w:after="80"/>
      </w:pPr>
      <w:r>
        <w:rPr>
          <w:rFonts w:ascii="Calibri" w:hAnsi="Calibri"/>
          <w:sz w:val="22"/>
        </w:rPr>
        <w:t>| **Tim mạch Cao** *(Đang dùng Aspirin / Bệnh vành)* | Naproxen + PPI | Naproxen + PPI | **NÉM TRÁNH NSAID** (Nếu bắt buộc: Naproxen + PPI) |</w:t>
      </w:r>
    </w:p>
    <w:p>
      <w:pPr>
        <w:spacing w:before="80" w:after="80"/>
        <w:ind w:left="432"/>
      </w:pPr>
      <w:r>
        <w:rPr>
          <w:rFonts w:ascii="Calibri" w:hAnsi="Calibri"/>
          <w:i/>
          <w:color w:val="643200"/>
          <w:sz w:val="21"/>
        </w:rPr>
        <w:t>⚠️ **TẠI SAO CHỌN NAPROXEN KHI CÓ NGUY CƠ TIM MẠCH?** Naproxen có thời gian bán thải dài và ức chế COX-1 liên tục, ít làm tăng nguy cơ biến cố huyết khối cơ tim nhất trong các NSAID truyền thống. Tuy nhiên, Naproxen gây độc niêm mạc dạ dày rất mạnh, do đó **bắt buộc luôn phải dùng kèm PPI**. (PMID: 19240698)</w:t>
      </w:r>
    </w:p>
    <w:p>
      <w:pPr>
        <w:spacing w:before="40" w:after="80"/>
      </w:pPr>
      <w:r>
        <w:rPr>
          <w:rFonts w:ascii="Calibri" w:hAnsi="Calibri"/>
          <w:sz w:val="22"/>
        </w:rPr>
        <w:t>---</w:t>
      </w:r>
    </w:p>
    <w:p>
      <w:pPr>
        <w:spacing w:before="200" w:after="80"/>
      </w:pPr>
      <w:r>
        <w:rPr>
          <w:rFonts w:ascii="Arial" w:hAnsi="Arial"/>
          <w:b/>
          <w:color w:val="1C6EA4"/>
          <w:sz w:val="28"/>
        </w:rPr>
        <w:t>4. CHIẾN LƯỢC QUẢN LÝ ASPIRIN VÀ THUỐC CHỐNG ĐÔNG KHI BỊ XUẤT HUYẾT TIÊU HÓA</w:t>
      </w:r>
    </w:p>
    <w:p>
      <w:pPr>
        <w:spacing w:before="160" w:after="60"/>
      </w:pPr>
      <w:r>
        <w:rPr>
          <w:rFonts w:ascii="Arial" w:hAnsi="Arial"/>
          <w:b/>
          <w:color w:val="282828"/>
          <w:sz w:val="24"/>
        </w:rPr>
        <w:t>4.1 Quy tắc quản lý Aspirin liều thấp (75–100 mg/ngày) dự phòng tim mạch:</w:t>
      </w:r>
    </w:p>
    <w:p>
      <w:pPr>
        <w:spacing w:before="40" w:after="80"/>
      </w:pPr>
      <w:r>
        <w:rPr>
          <w:rFonts w:ascii="Calibri" w:hAnsi="Calibri"/>
          <w:sz w:val="22"/>
        </w:rPr>
        <w:t>Khi bệnh nhân đang dùng Aspirin bị xuất huyết tiêu hóa do loét dạ dày: (PMID: 19949136) [FULL VERIFIED]</w:t>
      </w:r>
    </w:p>
    <w:p>
      <w:pPr>
        <w:spacing w:before="80" w:after="80"/>
        <w:shd w:fill="F4F4F4"/>
      </w:pPr>
      <w:r>
        <w:rPr>
          <w:rFonts w:ascii="Consolas" w:hAnsi="Consolas"/>
          <w:color w:val="282828"/>
          <w:sz w:val="19"/>
        </w:rPr>
        <w:t>┌─────────────────────────────────────────────────────────────────────────────┐</w:t>
        <w:br/>
        <w:t>│              CHIẾN LƯỢC DÙNG LẠI ASPIRIN SAU XUẤT HUYẾT TIÊU HÓA             │</w:t>
        <w:br/>
        <w:t>├─────────────────────────────────────────────────────────────────────────────┤</w:t>
        <w:br/>
        <w:t>│ 1. Dự phòng Thứ phát Tim mạch (Đã có Đặt Stent vành, Tiền sử Bồi máu cơ tim):│</w:t>
        <w:br/>
        <w:t>│    👉 Tạm ngưng Aspirin lúc cầm máu ban đầu.                                │</w:t>
        <w:br/>
        <w:t>│    👉 CHỈ ĐỊNH DÙNG LẠI ASPIRIN SỚM sau 3–5 NGÀY (ngay sau khi nội soi cầm  │</w:t>
        <w:br/>
        <w:t>│       máu thành công) phối hợp bắt buộc với PPI liều chuẩn kéo dài.         │</w:t>
        <w:br/>
        <w:t>│    👉 Lý do: Ngưng Aspirin quá 7 ngày làm tăng tỷ lệ tử vong do biến cố    │</w:t>
        <w:br/>
        <w:t>│       huyết khối tim mạch gấp 3 lần, trong khi nguy cơ tái xuất huyết chỉ  │</w:t>
        <w:br/>
        <w:t>│       tăng nhẹ. (PMID: 19949136)                                            │</w:t>
        <w:br/>
        <w:t>│                                                                             │</w:t>
        <w:br/>
        <w:t>│ 2. Dự phòng Nguyên phát Tim mạch (Chưa có bệnh tim mạch thực sự):            │</w:t>
        <w:br/>
        <w:t>│    👉 NGƯNG HẲN ASPIRIN vĩnh viễn. Không dùng lại.                          │</w:t>
        <w:br/>
        <w:t>└─────────────────────────────────────────────────────────────────────────────┘</w:t>
      </w:r>
    </w:p>
    <w:p>
      <w:pPr>
        <w:spacing w:before="40" w:after="80"/>
      </w:pPr>
      <w:r>
        <w:rPr>
          <w:rFonts w:ascii="Calibri" w:hAnsi="Calibri"/>
          <w:sz w:val="22"/>
        </w:rPr>
        <w:t>---</w:t>
      </w:r>
    </w:p>
    <w:p>
      <w:pPr>
        <w:spacing w:before="200" w:after="80"/>
      </w:pPr>
      <w:r>
        <w:rPr>
          <w:rFonts w:ascii="Arial" w:hAnsi="Arial"/>
          <w:b/>
          <w:color w:val="1C6EA4"/>
          <w:sz w:val="28"/>
        </w:rPr>
        <w:t>5. ĐƠN THUỐC MẪU &amp; TÌNH HUỐNG LÂM SÀNG PART 6</w:t>
      </w:r>
    </w:p>
    <w:p>
      <w:pPr>
        <w:spacing w:before="160" w:after="60"/>
      </w:pPr>
      <w:r>
        <w:rPr>
          <w:rFonts w:ascii="Arial" w:hAnsi="Arial"/>
          <w:b/>
          <w:color w:val="282828"/>
          <w:sz w:val="24"/>
        </w:rPr>
        <w:t>📝 Đơn thuốc mẫu: Khó tiêu chức năng thể Đau thượng vị (EPS)</w:t>
      </w:r>
    </w:p>
    <w:p>
      <w:pPr>
        <w:pStyle w:val="ListBullet"/>
        <w:spacing w:before="40" w:after="40"/>
      </w:pPr>
      <w:r>
        <w:rPr>
          <w:rFonts w:ascii="Calibri" w:hAnsi="Calibri"/>
          <w:sz w:val="22"/>
        </w:rPr>
        <w:t>**Esomeprazole 20mg:** 1 viên x 1 lần/ngày (uống trước ăn sáng 30 phút) x 4–8 tuần.</w:t>
      </w:r>
    </w:p>
    <w:p>
      <w:pPr>
        <w:pStyle w:val="ListBullet"/>
        <w:spacing w:before="40" w:after="40"/>
      </w:pPr>
      <w:r>
        <w:rPr>
          <w:rFonts w:ascii="Calibri" w:hAnsi="Calibri"/>
          <w:sz w:val="22"/>
        </w:rPr>
        <w:t>**Amitriptyline 10mg:** 1 viên x 1 lần/ngày (uống trước khi đi ngủ 30–60 phút) x 8 tuần (nếu kém đáp ứng với PPI).</w:t>
      </w:r>
    </w:p>
    <w:p>
      <w:pPr>
        <w:spacing w:before="40" w:after="80"/>
      </w:pPr>
      <w:r>
        <w:rPr>
          <w:rFonts w:ascii="Calibri" w:hAnsi="Calibri"/>
          <w:sz w:val="22"/>
        </w:rPr>
        <w:t>---</w:t>
      </w:r>
    </w:p>
    <w:p>
      <w:pPr>
        <w:spacing w:before="160" w:after="60"/>
      </w:pPr>
      <w:r>
        <w:rPr>
          <w:rFonts w:ascii="Arial" w:hAnsi="Arial"/>
          <w:b/>
          <w:color w:val="282828"/>
          <w:sz w:val="24"/>
        </w:rPr>
        <w:t>✍️ LỜI GIẢI CHI TIẾT CA LÂM SÀNG PART 6</w:t>
      </w:r>
    </w:p>
    <w:p>
      <w:pPr>
        <w:spacing w:before="40" w:after="80"/>
      </w:pPr>
      <w:r>
        <w:rPr>
          <w:rFonts w:ascii="Calibri" w:hAnsi="Calibri"/>
          <w:sz w:val="22"/>
        </w:rPr>
        <w:t>#### ❓ Tình huống Ca lâm sàng 6:</w:t>
      </w:r>
    </w:p>
    <w:p>
      <w:pPr>
        <w:spacing w:before="80" w:after="80"/>
        <w:ind w:left="432"/>
      </w:pPr>
      <w:r>
        <w:rPr>
          <w:rFonts w:ascii="Calibri" w:hAnsi="Calibri"/>
          <w:i/>
          <w:color w:val="643200"/>
          <w:sz w:val="21"/>
        </w:rPr>
        <w:t>Bệnh nhân nam 68 tuổi, có tiền sử Đặt stent mạch vành 2 năm trước (đang dùng Aspirin 81mg/ngày) và Thoái hóa khớp gối mạn tính. Bệnh nhân tự mua Celecoxib 200mg/ngày uống kéo dài 3 tháng nay. Cách 2 ngày, bệnh nhân đi ngoài phân đen như bã cà phê. Nội soi tiêu hóa trên ghi nhận: Ổ loét bờ cong nhỏ dạ dày kích thước 1.2 cm, Forrest IIc (đã ngưng chảy máu), test RUT $H. pylori (-)$.</w:t>
      </w:r>
    </w:p>
    <w:p>
      <w:pPr>
        <w:spacing w:before="40" w:after="80"/>
      </w:pPr>
      <w:r>
        <w:rPr>
          <w:rFonts w:ascii="Calibri" w:hAnsi="Calibri"/>
          <w:sz w:val="22"/>
        </w:rPr>
        <w:t>&gt;</w:t>
      </w:r>
    </w:p>
    <w:p>
      <w:pPr>
        <w:spacing w:before="80" w:after="80"/>
        <w:ind w:left="432"/>
      </w:pPr>
      <w:r>
        <w:rPr>
          <w:rFonts w:ascii="Calibri" w:hAnsi="Calibri"/>
          <w:i/>
          <w:color w:val="643200"/>
          <w:sz w:val="21"/>
        </w:rPr>
        <w:t>**Câu hỏi:**</w:t>
      </w:r>
    </w:p>
    <w:p>
      <w:pPr>
        <w:spacing w:before="80" w:after="80"/>
        <w:ind w:left="432"/>
      </w:pPr>
      <w:r>
        <w:rPr>
          <w:rFonts w:ascii="Calibri" w:hAnsi="Calibri"/>
          <w:i/>
          <w:color w:val="643200"/>
          <w:sz w:val="21"/>
        </w:rPr>
        <w:t>1. Phân tích nguyên nhân gây loét xuất huyết trên bệnh nhân này?</w:t>
      </w:r>
    </w:p>
    <w:p>
      <w:pPr>
        <w:spacing w:before="80" w:after="80"/>
        <w:ind w:left="432"/>
      </w:pPr>
      <w:r>
        <w:rPr>
          <w:rFonts w:ascii="Calibri" w:hAnsi="Calibri"/>
          <w:i/>
          <w:color w:val="643200"/>
          <w:sz w:val="21"/>
        </w:rPr>
        <w:t>2. Kế hoạch ngưng/dùng lại thuốc Aspirin và Celecoxib cho bệnh nhân?</w:t>
      </w:r>
    </w:p>
    <w:p>
      <w:pPr>
        <w:spacing w:before="80" w:after="80"/>
        <w:ind w:left="432"/>
      </w:pPr>
      <w:r>
        <w:rPr>
          <w:rFonts w:ascii="Calibri" w:hAnsi="Calibri"/>
          <w:i/>
          <w:color w:val="643200"/>
          <w:sz w:val="21"/>
        </w:rPr>
        <w:t>3. Đơn thuốc xuất viện phối hợp bảo vệ niêm mạc chuẩn cho bệnh nhân?</w:t>
      </w:r>
    </w:p>
    <w:p>
      <w:pPr>
        <w:spacing w:before="40" w:after="80"/>
      </w:pPr>
      <w:r>
        <w:rPr>
          <w:rFonts w:ascii="Calibri" w:hAnsi="Calibri"/>
          <w:sz w:val="22"/>
        </w:rPr>
        <w:t>---</w:t>
      </w:r>
    </w:p>
    <w:p>
      <w:pPr>
        <w:spacing w:before="40" w:after="80"/>
      </w:pPr>
      <w:r>
        <w:rPr>
          <w:rFonts w:ascii="Calibri" w:hAnsi="Calibri"/>
          <w:sz w:val="22"/>
        </w:rPr>
        <w:t>#### ✍️ LỜI GIẢI CHI TIẾT CA LÂM SÀNG 6:</w:t>
      </w:r>
    </w:p>
    <w:p>
      <w:pPr>
        <w:spacing w:before="40" w:after="80"/>
      </w:pPr>
      <w:r>
        <w:rPr>
          <w:rFonts w:ascii="Calibri" w:hAnsi="Calibri"/>
          <w:sz w:val="22"/>
        </w:rPr>
        <w:t>##### 1. Phân tích nguyên nhân:</w:t>
      </w:r>
    </w:p>
    <w:p>
      <w:pPr>
        <w:pStyle w:val="ListBullet"/>
        <w:spacing w:before="40" w:after="40"/>
      </w:pPr>
      <w:r>
        <w:rPr>
          <w:rFonts w:ascii="Calibri" w:hAnsi="Calibri"/>
          <w:sz w:val="22"/>
        </w:rPr>
        <w:t>Bệnh nhân có nguy cơ tiêu hóa **RẤT CAO** (Tuổi $&gt;65$ + Tiền sử dùng phối hợp Aspirin 81mg và Celecoxib 200mg mà không có PPI bảo vệ). Dù Celecoxib là thuốc chọn lọc COX-2, khi phối hợp với Aspirin liều thấp, hiệu quả bảo vệ niêm mạc của COX-2 hoàn toàn bị mất đi và độc tính tiêu hóa tăng tương đương NSAID truyền thống. (PMID: 19240698)</w:t>
      </w:r>
    </w:p>
    <w:p>
      <w:pPr>
        <w:spacing w:before="40" w:after="80"/>
      </w:pPr>
      <w:r>
        <w:rPr>
          <w:rFonts w:ascii="Calibri" w:hAnsi="Calibri"/>
          <w:sz w:val="22"/>
        </w:rPr>
        <w:t>##### 2. Kế hoạch quản lý thuốc Aspirin &amp; Celecoxib:</w:t>
      </w:r>
    </w:p>
    <w:p>
      <w:pPr>
        <w:pStyle w:val="ListBullet"/>
        <w:spacing w:before="40" w:after="40"/>
      </w:pPr>
      <w:r>
        <w:rPr>
          <w:rFonts w:ascii="Calibri" w:hAnsi="Calibri"/>
          <w:sz w:val="22"/>
        </w:rPr>
        <w:t>**Aspirin 81mg:** Do bệnh nhân đã đặt Stent mạch vành (Dự phòng thứ phát bắt buộc), **DÙNG LẠI ASPIRIN SỚM sau 3–5 ngày** kể từ khi nội soi xác nhận ngưng chảy máu (Forrest IIc). Không được ngưng Aspirin kéo dài vì nguy cơ huyết khối tắc stent tử vong. (PMID: 19949136)</w:t>
      </w:r>
    </w:p>
    <w:p>
      <w:pPr>
        <w:pStyle w:val="ListBullet"/>
        <w:spacing w:before="40" w:after="40"/>
      </w:pPr>
      <w:r>
        <w:rPr>
          <w:rFonts w:ascii="Calibri" w:hAnsi="Calibri"/>
          <w:sz w:val="22"/>
        </w:rPr>
        <w:t>**Celecoxib 200mg:** **NGƯNG HOÀN TOÀN NSAID**. Chuyển sang kiểm soát đau khớp gối bằng Paracetamol liều $\le 2g/ngày$ hoặc tập vật lý trị liệu / tiêm HA nội khớp. Nếu bắt buộc phải dùng lại NSAID do đau khớp nặng: Dùng **Celecoxib 200mg/ngày + PPI liều kép** và theo dõi sát. (PMID: 28410791)</w:t>
      </w:r>
    </w:p>
    <w:p>
      <w:pPr>
        <w:spacing w:before="40" w:after="80"/>
      </w:pPr>
      <w:r>
        <w:rPr>
          <w:rFonts w:ascii="Calibri" w:hAnsi="Calibri"/>
          <w:sz w:val="22"/>
        </w:rPr>
        <w:t>##### 3. Đơn thuốc xuất viện phối hợp chuẩn:</w:t>
      </w:r>
    </w:p>
    <w:p>
      <w:pPr>
        <w:spacing w:before="40" w:after="80"/>
      </w:pPr>
      <w:r>
        <w:rPr>
          <w:rFonts w:ascii="Calibri" w:hAnsi="Calibri"/>
          <w:sz w:val="22"/>
        </w:rPr>
        <w:t>1. **Aspirin 81mg:** 1 viên x 1 lần/ngày (uống sau ăn sáng).</w:t>
      </w:r>
    </w:p>
    <w:p>
      <w:pPr>
        <w:spacing w:before="40" w:after="80"/>
      </w:pPr>
      <w:r>
        <w:rPr>
          <w:rFonts w:ascii="Calibri" w:hAnsi="Calibri"/>
          <w:sz w:val="22"/>
        </w:rPr>
        <w:t>2. **Esomeprazole 40mg:** 1 viên x 2 lần/ngày (uống trước ăn sáng và trước ăn tối 30 phút) x 8 tuần để lành ổ loét 1.2 cm. Sau 8 tuần hạ liều xuống Esomeprazole 20mg/ngày dùng **duy trì kéo dài song song với Aspirin**.</w:t>
      </w:r>
    </w:p>
    <w:p>
      <w:pPr>
        <w:spacing w:before="40" w:after="80"/>
      </w:pPr>
      <w:r>
        <w:rPr>
          <w:rFonts w:ascii="Calibri" w:hAnsi="Calibri"/>
          <w:sz w:val="22"/>
        </w:rPr>
        <w:t>3. Hẹn Nội soi tiêu hóa trên kiểm tra lại sau 8 tuần để xác nhận lành ổ loét bờ cong nhỏ (loại trừ K dạ dày dạng loét).</w:t>
      </w:r>
    </w:p>
    <w:p>
      <w:pPr>
        <w:spacing w:before="40" w:after="80"/>
      </w:pPr>
      <w:r>
        <w:rPr>
          <w:rFonts w:ascii="Calibri" w:hAnsi="Calibri"/>
          <w:sz w:val="22"/>
        </w:rPr>
        <w:t>---</w:t>
      </w:r>
    </w:p>
    <w:p>
      <w:pPr>
        <w:spacing w:before="40" w:after="80"/>
      </w:pPr>
      <w:r>
        <w:rPr>
          <w:rFonts w:ascii="Calibri" w:hAnsi="Calibri"/>
          <w:sz w:val="22"/>
        </w:rPr>
        <w:t>*Hết Part 6. File đã được hoàn thiện nội dung &amp; đáp án ca lâm sàng trực tiếp bên dưới.*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