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56DB"/>
        </w:rPr>
        <w:t>Q&amp;A: Phác đồ điều trị H. pylori tại Việt Nam</w:t>
      </w:r>
    </w:p>
    <w:p>
      <w:r>
        <w:t>Nguồn: VNAGE 2023 (Front Med, DOI: 10.3389/fmed.2022.1065045) — 32 chuyên gia, Delphi 2 vòng, GRADE.</w:t>
      </w:r>
    </w:p>
    <w:p>
      <w:pPr>
        <w:pStyle w:val="Heading1"/>
      </w:pPr>
      <w:r>
        <w:rPr>
          <w:color w:val="1A56DB"/>
        </w:rPr>
        <w:t>Điều quan trọng nhất trước khi kê đơn</w:t>
      </w:r>
    </w:p>
    <w:p>
      <w:r>
        <w:t>Việt Nam là vùng kháng clarithromycin rất cao (&gt;30–50%). KHÔNG dùng phác đồ bộ ba chuẩn (PPI + Amoxicillin + Clarithromycin) làm first-line theo kinh nghiệm.</w:t>
      </w:r>
    </w:p>
    <w:p>
      <w:pPr>
        <w:pStyle w:val="Heading1"/>
      </w:pPr>
      <w:r>
        <w:rPr>
          <w:color w:val="1A56DB"/>
        </w:rPr>
        <w:t>Bước 1: Ai cần test H. pylori?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Nhóm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Chỉ định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Xét nghiệm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Có báo động (sụt cân, nuốt nghẹn, thiếu máu...)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Nội soi ngay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RUT / mô học / PCR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Khó tiêu &lt;45t, không báo động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Có thể test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UBT / kháng nguyên phân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Loét DD-TT đã biết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Bắt buộc test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RUT trong nội soi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Sau điều trị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Kiểm tra ≥4 tuần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UBT (ưu tiên)</w:t>
            </w:r>
          </w:p>
        </w:tc>
      </w:tr>
    </w:tbl>
    <w:p/>
    <w:p>
      <w:pPr>
        <w:pStyle w:val="Heading1"/>
      </w:pPr>
      <w:r>
        <w:rPr>
          <w:color w:val="1A56DB"/>
        </w:rPr>
        <w:t>Bước 2: Bối cảnh kháng thuốc tại VN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Kháng sinh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Tỉ lệ kháng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Hệ quả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Clarithromycin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&gt;30–50%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Không dùng triple therapy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Levofloxacin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20–40%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Đang tăng nhanh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Metronidazole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&gt;40%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Cần bismuth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Amoxicillin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&lt;5%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Còn rất tốt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Tetracycline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&lt;5%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Còn tốt</w:t>
            </w:r>
          </w:p>
        </w:tc>
      </w:tr>
    </w:tbl>
    <w:p/>
    <w:p>
      <w:pPr>
        <w:pStyle w:val="Heading1"/>
      </w:pPr>
      <w:r>
        <w:rPr>
          <w:color w:val="1A56DB"/>
        </w:rPr>
        <w:t>Bước 3: Phác đồ đầu tay ưu tiên</w:t>
      </w:r>
    </w:p>
    <w:p>
      <w:r>
        <w:t>Bismuth quadruple therapy 14 ngày:</w:t>
      </w:r>
    </w:p>
    <w:p>
      <w:pPr>
        <w:pStyle w:val="ListBullet"/>
      </w:pPr>
      <w:r>
        <w:t>PPI (liều gấp đôi) × 2/ngày + Bismuth × 4/ngày + Amoxicillin 1g × 2/ngày + Metronidazole 500mg × 2–3/ngày</w:t>
      </w:r>
    </w:p>
    <w:p>
      <w:pPr>
        <w:pStyle w:val="ListBullet"/>
      </w:pPr>
      <w:r>
        <w:t>Nếu dị ứng penicillin: thay Amoxicillin = Tetracycline 500mg × 4/ngày.</w:t>
      </w:r>
    </w:p>
    <w:p>
      <w:r>
        <w:t>Tỉ lệ diệt thành công: ~85–90%. Tại sao PPI liều gấp đôi? Vì tăng pH → Hp chuyển dạng phân chia → kháng sinh mới có tác dụng.</w:t>
      </w:r>
    </w:p>
    <w:p>
      <w:pPr>
        <w:pStyle w:val="Heading1"/>
      </w:pPr>
      <w:r>
        <w:rPr>
          <w:color w:val="1A56DB"/>
        </w:rPr>
        <w:t>Bước 4: Dặn dò BN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Tác dụng phụ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Xử trí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Metallic taste, buồn nôn (metronidazole)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Dặn BN trước — KHÔNG tự ngưng thuốc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Phân đen (bismuth)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Vô hại — dặn BN không nhầm XHTH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Lưỡi xẫm (bismuth)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Vô hại, hết khi ngưng</w:t>
            </w:r>
          </w:p>
        </w:tc>
      </w:tr>
    </w:tbl>
    <w:p/>
    <w:p>
      <w:pPr>
        <w:pStyle w:val="Heading1"/>
      </w:pPr>
      <w:r>
        <w:rPr>
          <w:color w:val="1A56DB"/>
        </w:rPr>
        <w:t>Bước 5: Kiểm tra sau điều trị</w:t>
      </w:r>
    </w:p>
    <w:p>
      <w:r>
        <w:t>≥4 tuần sau KS cuối → UBT (test hơi thở ure). Ngưng PPI ≥2 tuần trước test. KHÔNG dùng huyết thanh học.</w:t>
      </w:r>
    </w:p>
    <w:p>
      <w:pPr>
        <w:pStyle w:val="Heading1"/>
      </w:pPr>
      <w:r>
        <w:rPr>
          <w:color w:val="1A56DB"/>
        </w:rPr>
        <w:t>Bước 6: Thất bại first-line → second-line</w:t>
      </w:r>
    </w:p>
    <w:p>
      <w:r>
        <w:t>Đã dùng bismuth quadruple? → Levofloxacin-based quadruple 14 ngày. Tốt nhất: cấy + KSĐ hoặc PCR nếu có điều kiện.</w:t>
      </w:r>
    </w:p>
    <w:p>
      <w:pPr>
        <w:pStyle w:val="Heading1"/>
      </w:pPr>
      <w:r>
        <w:rPr>
          <w:color w:val="1A56DB"/>
        </w:rPr>
        <w:t>Bước 7: Phòng tái nhiễm</w:t>
      </w:r>
    </w:p>
    <w:p>
      <w:r>
        <w:t>Tỉ lệ tái nhiễm tại VN ~3–4%/năm. Đường lây: phân-miệng, miệng-miệng. Vệ sinh tay, không dùng chung đũa/muỗng, xử lý nguồn nước.</w:t>
      </w:r>
    </w:p>
    <w:p>
      <w:pPr>
        <w:pStyle w:val="Heading1"/>
      </w:pPr>
      <w:r>
        <w:rPr>
          <w:color w:val="1A56DB"/>
        </w:rPr>
        <w:t>Nguồn tham khảo</w:t>
      </w:r>
    </w:p>
    <w:p>
      <w:pPr>
        <w:pStyle w:val="ListBullet"/>
      </w:pPr>
      <w:r>
        <w:t>VNAGE 2023 — H. pylori consensus Vietnam (Front Med, DOI: 10.3389/fmed.2022.1065045)</w:t>
      </w:r>
    </w:p>
    <w:p>
      <w:pPr>
        <w:pStyle w:val="ListBullet"/>
      </w:pPr>
      <w:r>
        <w:t>ACG 2024 — Treatment of H. pylori Infection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