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IM-38 — Tiêu chảy cấp/mạn và viêm đại tràng</w:t>
      </w:r>
    </w:p>
    <w:p>
      <w:r>
        <w:t>Bai hoc y khoa - IM-38_RESEARCH_BRIEF</w:t>
      </w:r>
    </w:p>
    <w:p>
      <w:pPr>
        <w:pStyle w:val="Title"/>
      </w:pPr>
      <w:r>
        <w:t>RESEARCH BRIEF: IM-38 — Tiêu chảy cấp/mạn và viêm đại tràng</w:t>
      </w:r>
    </w:p>
    <w:p>
      <w:r>
        <w:rPr>
          <w:b/>
        </w:rPr>
        <w:t>Ngày:</w:t>
      </w:r>
      <w:r>
        <w:t xml:space="preserve"> 2026-07-20 | </w:t>
      </w:r>
      <w:r>
        <w:rPr>
          <w:b/>
        </w:rPr>
        <w:t>Model research:</w:t>
      </w:r>
      <w:r>
        <w:t xml:space="preserve"> 9router/ag/gemini-pro-agent | </w:t>
      </w:r>
      <w:r>
        <w:rPr>
          <w:b/>
        </w:rPr>
        <w:t>Model execute:</w:t>
      </w:r>
      <w:r>
        <w:t xml:space="preserve"> 9router/ag/gemini-pro-agent</w:t>
      </w:r>
    </w:p>
    <w:p/>
    <w:p>
      <w:pPr>
        <w:pStyle w:val="Heading1"/>
      </w:pPr>
      <w:r>
        <w:t>1. Papers đã chọn (kèm lý do chọn)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Tại sao chọn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IDSA 2017 Infectious Diarrhea — primary source cho định nghĩa, phân loại cấp/mạn, bù dịch, và kháng sinh kinh nghiệm.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27068718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ACG 2016 Acute Diarrhea — primary source bổ sung định nghĩa và tiếp cận tiêu chảy cấp.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34164674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IDSA/SHEA 2021 Focused Update CDI — primary source cho phác đồ điều trị CDI (fidaxomicin, bezlotoxumab).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IDSA/SHEA 2017 CDI — primary source cho chẩn đoán, phân độ nặng, và kiểm soát nhiễm khuẩn CDI.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31302098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AGA 2019 Chronic Diarrhea/IBS-D — primary source cho tiếp cận tiêu chảy mạn và ngưỡng calprotectin/lactoferrin.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40701562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ACG 2025 Crohn's Disease — primary source cho chẩn đoán phân biệt IBD vs nhiễm trùng và chỉ định nội soi.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40701556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ACG 2025 Ulcerative Colitis — primary source cho chẩn đoán phân biệt IBD vs nhiễm trùng.</w:t>
            </w:r>
          </w:p>
        </w:tc>
      </w:tr>
    </w:tbl>
    <w:p>
      <w:r>
        <w:rPr>
          <w:b/>
        </w:rPr>
        <w:t>Đã loại:</w:t>
      </w:r>
    </w:p>
    <w:p>
      <w:pPr>
        <w:pStyle w:val="ListBullet"/>
      </w:pPr>
      <w:r>
        <w:t>PMID 41384833: Correction của ACG 2025 UC, không phải primary guideline.</w:t>
      </w:r>
    </w:p>
    <w:p>
      <w:pPr>
        <w:pStyle w:val="ListBullet"/>
      </w:pPr>
      <w:r>
        <w:t>Phác đồ điều trị sinh học duy trì (maintenance biologics) cho IBD: Nằm ngoài scope của bài (chỉ tập trung triage/chẩn đoán ban đầu).</w:t>
      </w:r>
    </w:p>
    <w:p>
      <w:pPr>
        <w:pStyle w:val="ListBullet"/>
      </w:pPr>
      <w:r>
        <w:t>Liều lượng kháng sinh kinh nghiệm cụ thể cho tiêu chảy cộng đồng (ngoại trừ các nguyên tắc chung): Phụ thuộc kháng sinh đồ địa phương, guideline chỉ nêu nhóm thuốc.</w:t>
      </w:r>
    </w:p>
    <w:p/>
    <w:p>
      <w:pPr>
        <w:pStyle w:val="Heading1"/>
      </w:pPr>
      <w:r>
        <w:t>2. Claims đã verify — chỉ viết claim CÓ trong abstract/full 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Tiêu chảy: ≥3 lần đi ngoài phân lỏng/nước trong 24h, hoặc nhiều hơn bình thường. Phân khuôn hoặc phân sệt ở trẻ nhũ nhi không phải tiêu chảy.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Tiêu chảy cấp: &lt;14 ngày. Kéo dài (persistent): 14-29 ngày. Mạn tính (chronic): ≥30 ngày (hoặc &gt;4 tuần).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29194529, 31302098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Tiêu chảy phân máu (dysentery): phân ít, có máu đại thể và nhầy, kèm sốt, đau quặn bụng, mót rặn.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Bù dịch: ORS thẩm thấu thấp là first-line cho mất nước nhẹ-vừa. IV (Lactated Ringer hoặc Normal Saline) khi mất nước nặng, sốc, thay đổi tri giác, thất bại ORS, hoặc liệt ruột.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Chẩn đoán CDI: triệu chứng (tiêu chảy) + xét nghiệm phân dương tính với độc tố C. difficile hoặc phát hiện C. difficile sinh độc tố, HOẶC viêm đại tràng giả mạc trên nội soi/mô bệnh học.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định test CDI: ≥3 lần phân không thành khuôn trong 24h, mới khởi phát, không giải thích được. KHÔNG test thường quy nếu dùng thuốc nhuận tràng trong 48h trước.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Mẫu phân CDI: phòng xét nghiệm nên từ chối mẫu phân không lỏng/mềm (không mang hình dáng vật chứa).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Thuật toán test CDI: Nếu không có tiêu chuẩn nộp mẫu nghiêm ngặt, dùng thuật toán nhiều bước (GDH + toxin, hoặc NAAT + toxin) thay vì NAAT đơn độc.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độ CDI không nặng (nonsevere): WBC ≤15,000 cells/µL VÀ Creatinine huyết thanh &lt;1.5 mg/dL. Nặng (severe): WBC ≥15,000 cells/µL HOẶC Creatinine &gt;1.5 mg/dL.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CDI thể tối cấp (fulminant): tụt huyết áp/sốc, liệt ruột, hoặc phình đại tràng nhiễm độc.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CDI đợt đầu (first episode): Fidaxomicin (200 mg x 2 lần/ngày x 10 ngày) ưu tiên hơn Vancomycin (125 mg x 4 lần/ngày x 10 ngày).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34164674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trị CDI tối cấp (fulminant): Vancomycin 500 mg x 4 lần/ngày (uống hoặc qua sonde dạ dày). Nếu có liệt ruột, thêm Vancomycin thụt tháo (500 mg trong 100 mL NS mỗi 6h) VÀ Metronidazole IV (500 mg mỗi 8h).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34164674, 29462280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Tiêu chảy mạn tính phân nước: AGA khuyến cáo dùng Fecal calprotectin HOẶC Fecal lactoferrin để sàng lọc IBD.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31302098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Ngưỡng Fecal calprotectin: 50 μg/g (tối ưu độ nhạy cho IBD). Ngưỡng Fecal lactoferrin: 4.0–7.25 μg/g.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31302098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Tiêu chảy mạn tính phân nước: AGA khuyến cáo KHÔNG xét nghiệm ESR/CRP thường quy để sàng lọc IBD (độ nhạy thấp).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31302098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Tiêu chảy mạn tính phân nước: AGA khuyến cáo xét nghiệm Giardia (kháng nguyên hoặc PCR), xét nghiệm Celiac (IgA tTG + tổng IgA), và xét nghiệm acid mật (nếu có sẵn).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31302098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Chẩn đoán IBD (Crohn): Dựa trên lâm sàng + nội soi, chẩn đoán hình ảnh, mô bệnh học cho thấy viêm xuyên thành, không đối xứng, khu trú. KHÔNG có xét nghiệm máu/phân nào chẩn đoán xác định đơn độc.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40701562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biệt IBD vs Nhiễm trùng: Triệu chứng trùng lặp. Đợt hoạt động cần test tác nhân ruột, C. difficile, và marker viêm (Calprotectin). Nếu không chắc chắn, xác nhận bằng nội soi/hình ảnh.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40701562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</w:tbl>
    <w:p>
      <w:r>
        <w:rPr>
          <w:b/>
        </w:rPr>
        <w:t>Số liệu CẤM dùng:</w:t>
      </w:r>
    </w:p>
    <w:p>
      <w:pPr>
        <w:pStyle w:val="ListBullet"/>
      </w:pPr>
      <w:r>
        <w:t>Liều lượng kháng sinh kinh nghiệm cụ thể cho tiêu chảy cộng đồng (ngoài các nguyên tắc chung/nhóm thuốc).</w:t>
      </w:r>
    </w:p>
    <w:p>
      <w:pPr>
        <w:pStyle w:val="ListBullet"/>
      </w:pPr>
      <w:r>
        <w:t>Phác đồ sinh học duy trì cho IBD.</w:t>
      </w:r>
    </w:p>
    <w:p>
      <w:pPr>
        <w:pStyle w:val="ListBullet"/>
      </w:pPr>
      <w:r>
        <w:t>Bất kỳ liều lượng/ngưỡng chẩn đoán nào không có trong bảng trên.</w:t>
      </w:r>
    </w:p>
    <w:p/>
    <w:p>
      <w:pPr>
        <w:pStyle w:val="Heading1"/>
      </w:pPr>
      <w:r>
        <w:t>3. Kiến thức nền — anatomy/physiology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Kiến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tiêu chảy phân nước: tăng tiết (secretory) hoặc thẩm thấu (osmotic). Không có phá hủy niêm mạc đại thể.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Harrison's Principles of Internal Medicine, Ch. 43]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tiêu chảy phân máu/viêm: xâm nhập niêm mạc, phá hủy tế bào, xuất tiết dịch viêm/máu.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Harrison's Principles of Internal Medicine, Ch. 43]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Calprotectin: protein gắn kẽm/canxi dồi dào trong bạch cầu đa nhân trung tính, bền vững trong phân, phản ánh tình trạng viêm ruột.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[REVIEW: PMID 31351880]</w:t>
            </w:r>
          </w:p>
        </w:tc>
      </w:tr>
    </w:tbl>
    <w:p/>
    <w:p>
      <w:pPr>
        <w:pStyle w:val="Heading1"/>
      </w:pPr>
      <w:r>
        <w:t>4. Dàn ý chi tiết</w:t>
      </w:r>
    </w:p>
    <w:p>
      <w:pPr>
        <w:pStyle w:val="Heading2"/>
      </w:pPr>
      <w:r>
        <w:t>Section 0: Tổng quan</w:t>
      </w:r>
    </w:p>
    <w:p>
      <w:pPr>
        <w:pStyle w:val="ListBullet"/>
      </w:pPr>
      <w:r>
        <w:t>Vấn đề lâm sàng: Tiêu chảy là triệu chứng phổ biến, trải dài từ tự giới hạn đến đe dọa tính mạng. Việc phân loại đúng (cấp/mạn, nước/máu) quyết định hướng xử trí.</w:t>
      </w:r>
    </w:p>
    <w:p>
      <w:pPr>
        <w:pStyle w:val="ListBullet"/>
      </w:pPr>
      <w:r>
        <w:t>Mục tiêu: Đánh giá mất nước, chỉ định xét nghiệm phân hợp lý, quản lý kháng sinh kinh nghiệm/CDI, và triage tiêu chảy mạn/IBD.</w:t>
      </w:r>
    </w:p>
    <w:p>
      <w:pPr>
        <w:pStyle w:val="ListBullet"/>
      </w:pPr>
      <w:r>
        <w:t>Prerequisite: Đã nắm vững ABCDE và loại trừ bụng ngoại khoa (IM-35).</w:t>
      </w:r>
    </w:p>
    <w:p>
      <w:pPr>
        <w:pStyle w:val="ListBullet"/>
      </w:pPr>
      <w:r>
        <w:rPr>
          <w:b/>
        </w:rPr>
        <w:t>Scope Box:</w:t>
      </w:r>
      <w:r>
        <w:t xml:space="preserve"> Link sang IM-35 cho hồi sức ban đầu/bụng ngoại khoa. Nhấn mạnh bài này tập trung vào disease-specific pathway (xét nghiệm phân, kháng sinh, CDI, IBD).</w:t>
      </w:r>
    </w:p>
    <w:p>
      <w:pPr>
        <w:pStyle w:val="Heading2"/>
      </w:pPr>
      <w:r>
        <w:t>Section 1: Định nghĩa &amp; Phân loại</w:t>
      </w:r>
    </w:p>
    <w:p>
      <w:pPr>
        <w:pStyle w:val="ListBullet"/>
      </w:pPr>
      <w:r>
        <w:rPr>
          <w:b/>
        </w:rPr>
        <w:t>1.1 Định nghĩa:</w:t>
      </w:r>
      <w:r>
        <w:t xml:space="preserve"> Tiêu chảy (≥3 lần/24h phân lỏng/nước) [Claim 1].</w:t>
      </w:r>
    </w:p>
    <w:p>
      <w:pPr>
        <w:pStyle w:val="ListBullet"/>
      </w:pPr>
      <w:r>
        <w:rPr>
          <w:b/>
        </w:rPr>
        <w:t>1.2 Thời gian:</w:t>
      </w:r>
      <w:r>
        <w:t xml:space="preserve"> Cấp (&lt;14 ngày), Kéo dài (14-29 ngày), Mạn (≥30 ngày) [Claim 2].</w:t>
      </w:r>
    </w:p>
    <w:p>
      <w:pPr>
        <w:pStyle w:val="ListBullet"/>
      </w:pPr>
      <w:r>
        <w:rPr>
          <w:b/>
        </w:rPr>
        <w:t>1.3 Kiểu hình:</w:t>
      </w:r>
      <w:r>
        <w:t xml:space="preserve"> Phân nước vs Phân máu/viêm (dysentery) [Claim 3].</w:t>
      </w:r>
    </w:p>
    <w:p>
      <w:pPr>
        <w:pStyle w:val="Heading2"/>
      </w:pPr>
      <w:r>
        <w:t>Section 2: BOX ĐỎ — Safety before routine diagnosis</w:t>
      </w:r>
    </w:p>
    <w:p>
      <w:pPr>
        <w:pStyle w:val="ListBullet"/>
      </w:pPr>
      <w:r>
        <w:t>Dấu hiệu sinh tồn không ổn định, mất nước nặng, nhiễm độc toàn thân, dấu hiệu viêm phúc mạc/tắc ruột, viêm đại tràng chảy máu nặng, nghi ngờ phình đại tràng nhiễm độc.</w:t>
      </w:r>
    </w:p>
    <w:p>
      <w:pPr>
        <w:pStyle w:val="ListBullet"/>
      </w:pPr>
      <w:r>
        <w:t>Hành động: Hồi sức ngay (IV fluids theo IM-35) [Claim 4], hội chẩn ngoại khoa/ICU, không chờ kết quả phân.</w:t>
      </w:r>
    </w:p>
    <w:p>
      <w:pPr>
        <w:pStyle w:val="Heading2"/>
      </w:pPr>
      <w:r>
        <w:t>Section 3: Tiêu chảy cấp &amp; Stewardship</w:t>
      </w:r>
    </w:p>
    <w:p>
      <w:pPr>
        <w:pStyle w:val="ListBullet"/>
      </w:pPr>
      <w:r>
        <w:rPr>
          <w:b/>
        </w:rPr>
        <w:t>Khai thác bệnh sử:</w:t>
      </w:r>
      <w:r>
        <w:t xml:space="preserve"> Yếu tố phơi nhiễm (du lịch, thức ăn, kháng sinh, dịch tễ).</w:t>
      </w:r>
    </w:p>
    <w:p>
      <w:pPr>
        <w:pStyle w:val="ListBullet"/>
      </w:pPr>
      <w:r>
        <w:rPr>
          <w:b/>
        </w:rPr>
        <w:t>Chỉ định xét nghiệm:</w:t>
      </w:r>
      <w:r>
        <w:t xml:space="preserve"> Phân biệt nước vs máu. Bảng chỉ định cấy phân, PCR, STEC. Nhấn mạnh PCR cần phiên dịch lâm sàng.</w:t>
      </w:r>
    </w:p>
    <w:p>
      <w:pPr>
        <w:pStyle w:val="ListBullet"/>
      </w:pPr>
      <w:r>
        <w:rPr>
          <w:b/>
        </w:rPr>
        <w:t>Bù dịch:</w:t>
      </w:r>
      <w:r>
        <w:t xml:space="preserve"> ORS là first-line. IV khi nặng/thất bại ORS [Claim 4].</w:t>
      </w:r>
    </w:p>
    <w:p>
      <w:pPr>
        <w:pStyle w:val="ListBullet"/>
      </w:pPr>
      <w:r>
        <w:rPr>
          <w:b/>
        </w:rPr>
        <w:t>Kháng sinh kinh nghiệm:</w:t>
      </w:r>
      <w:r>
        <w:t xml:space="preserve"> Nguyên tắc stewardship. Tránh kháng sinh trong nghi ngờ STEC. Tránh thuốc cầm tiêu chảy khi có sốt/phân máu.</w:t>
      </w:r>
    </w:p>
    <w:p>
      <w:pPr>
        <w:pStyle w:val="Heading2"/>
      </w:pPr>
      <w:r>
        <w:t>Section 4: Clostridioides difficile (CDI)</w:t>
      </w:r>
    </w:p>
    <w:p>
      <w:pPr>
        <w:pStyle w:val="ListBullet"/>
      </w:pPr>
      <w:r>
        <w:rPr>
          <w:b/>
        </w:rPr>
        <w:t>Định nghĩa &amp; Chỉ định test:</w:t>
      </w:r>
      <w:r>
        <w:t xml:space="preserve"> Triệu chứng + test (+) [Claim 5]. Chỉ test khi ≥3 lần phân lỏng/24h, không dùng nhuận tràng [Claim 6, 7].</w:t>
      </w:r>
    </w:p>
    <w:p>
      <w:pPr>
        <w:pStyle w:val="ListBullet"/>
      </w:pPr>
      <w:r>
        <w:rPr>
          <w:b/>
        </w:rPr>
        <w:t>Thuật toán test:</w:t>
      </w:r>
      <w:r>
        <w:t xml:space="preserve"> GDH + Toxin hoặc NAAT + Toxin [Claim 8].</w:t>
      </w:r>
    </w:p>
    <w:p>
      <w:pPr>
        <w:pStyle w:val="ListBullet"/>
      </w:pPr>
      <w:r>
        <w:rPr>
          <w:b/>
        </w:rPr>
        <w:t>Phân độ:</w:t>
      </w:r>
      <w:r>
        <w:t xml:space="preserve"> Nonsevere vs Severe vs Fulminant [Claim 9, 10].</w:t>
      </w:r>
    </w:p>
    <w:p>
      <w:pPr>
        <w:pStyle w:val="ListBullet"/>
      </w:pPr>
      <w:r>
        <w:rPr>
          <w:b/>
        </w:rPr>
        <w:t>Điều trị:</w:t>
      </w:r>
      <w:r>
        <w:t xml:space="preserve"> Fidaxomicin ưu tiên cho đợt đầu [Claim 11]. Phác đồ Fulminant (Vanco PO/sonde + Vanco thụt + Metronidazole IV) [Claim 12].</w:t>
      </w:r>
    </w:p>
    <w:p>
      <w:pPr>
        <w:pStyle w:val="ListBullet"/>
      </w:pPr>
      <w:r>
        <w:rPr>
          <w:b/>
        </w:rPr>
        <w:t>Kiểm soát nhiễm khuẩn:</w:t>
      </w:r>
      <w:r>
        <w:t xml:space="preserve"> Cách ly tiếp xúc ngay khi nghi ngờ.</w:t>
      </w:r>
    </w:p>
    <w:p>
      <w:pPr>
        <w:pStyle w:val="Heading2"/>
      </w:pPr>
      <w:r>
        <w:t>Section 5: Tiêu chảy mạn tính</w:t>
      </w:r>
    </w:p>
    <w:p>
      <w:pPr>
        <w:pStyle w:val="ListBullet"/>
      </w:pPr>
      <w:r>
        <w:rPr>
          <w:b/>
        </w:rPr>
        <w:t>Tiếp cận:</w:t>
      </w:r>
      <w:r>
        <w:t xml:space="preserve"> Phân loại nước, mỡ, viêm.</w:t>
      </w:r>
    </w:p>
    <w:p>
      <w:pPr>
        <w:pStyle w:val="ListBullet"/>
      </w:pPr>
      <w:r>
        <w:rPr>
          <w:b/>
        </w:rPr>
        <w:t>Tiêu chảy mạn phân nước (&gt;4 tuần):</w:t>
      </w:r>
    </w:p>
    <w:p>
      <w:pPr>
        <w:pStyle w:val="ListBullet"/>
      </w:pPr>
      <w:r>
        <w:t>Sàng lọc IBD: Dùng Fecal calprotectin (ngưỡng 50 μg/g) hoặc lactoferrin [Claim 13, 14]. KHÔNG dùng ESR/CRP thường quy [Claim 15].</w:t>
      </w:r>
    </w:p>
    <w:p>
      <w:pPr>
        <w:pStyle w:val="ListBullet"/>
      </w:pPr>
      <w:r>
        <w:t>Xét nghiệm khác: Giardia, Celiac, Acid mật [Claim 16].</w:t>
      </w:r>
    </w:p>
    <w:p>
      <w:pPr>
        <w:pStyle w:val="Heading2"/>
      </w:pPr>
      <w:r>
        <w:t>Section 6: Viêm đại tràng &amp; Triage IBD</w:t>
      </w:r>
    </w:p>
    <w:p>
      <w:pPr>
        <w:pStyle w:val="ListBullet"/>
      </w:pPr>
      <w:r>
        <w:rPr>
          <w:b/>
        </w:rPr>
        <w:t>Phân biệt:</w:t>
      </w:r>
      <w:r>
        <w:t xml:space="preserve"> Nhiễm trùng vs IBD (Crohn, UC). Triệu chứng trùng lặp [Claim 18].</w:t>
      </w:r>
    </w:p>
    <w:p>
      <w:pPr>
        <w:pStyle w:val="ListBullet"/>
      </w:pPr>
      <w:r>
        <w:rPr>
          <w:b/>
        </w:rPr>
        <w:t>Chẩn đoán IBD:</w:t>
      </w:r>
      <w:r>
        <w:t xml:space="preserve"> Cần kết hợp lâm sàng, nội soi, hình ảnh, giải phẫu bệnh [Claim 17].</w:t>
      </w:r>
    </w:p>
    <w:p>
      <w:pPr>
        <w:pStyle w:val="ListBullet"/>
      </w:pPr>
      <w:r>
        <w:rPr>
          <w:b/>
        </w:rPr>
        <w:t>Triage:</w:t>
      </w:r>
      <w:r>
        <w:t xml:space="preserve"> Khi nào cần nội soi/chuyển chuyên khoa (Calprotectin cao, báo động đỏ, không đáp ứng điều trị nhiễm trùng).</w:t>
      </w:r>
    </w:p>
    <w:p>
      <w:pPr>
        <w:pStyle w:val="Heading2"/>
      </w:pPr>
      <w:r>
        <w:t>Section 7: Plan A / Plan B (Việt Nam)</w:t>
      </w:r>
    </w:p>
    <w:p>
      <w:pPr>
        <w:pStyle w:val="ListBullet"/>
      </w:pPr>
      <w:r>
        <w:rPr>
          <w:b/>
        </w:rPr>
        <w:t>Plan A:</w:t>
      </w:r>
      <w:r>
        <w:t xml:space="preserve"> Đầy đủ xét nghiệm (PCR phân, Calprotectin, Nội soi).</w:t>
      </w:r>
    </w:p>
    <w:p>
      <w:pPr>
        <w:pStyle w:val="ListBullet"/>
      </w:pPr>
      <w:r>
        <w:rPr>
          <w:b/>
        </w:rPr>
        <w:t>Plan B (Thiếu nguồn lực):</w:t>
      </w:r>
      <w:r>
        <w:t xml:space="preserve"> Đánh giá kiểu hình/phơi nhiễm, gửi xét nghiệm phân tốt nhất có thể trước khi dùng kháng sinh, bù dịch, chuyển tuyến nếu nguy cơ cao/không đáp ứng. Không điều trị mù IBD.</w:t>
      </w:r>
    </w:p>
    <w:p>
      <w:pPr>
        <w:pStyle w:val="Heading2"/>
      </w:pPr>
      <w:r>
        <w:t>Section 8: Flowchart (Mermaid)</w:t>
      </w:r>
    </w:p>
    <w:p>
      <w:pPr>
        <w:pStyle w:val="ListBullet"/>
      </w:pPr>
      <w:r>
        <w:t>Tiêu chảy → IM-35 Red flags? → Cấp vs Mạn → Nước vs Máu → Xét nghiệm/Kháng sinh → Nhánh CDI → Nhánh IBD → Plan B/Chuyển tuyến.</w:t>
      </w:r>
    </w:p>
    <w:p>
      <w:pPr>
        <w:pStyle w:val="Heading2"/>
      </w:pPr>
      <w:r>
        <w:t>Section 9: 4 Cases lâm sàng</w:t>
      </w:r>
    </w:p>
    <w:p>
      <w:pPr>
        <w:pStyle w:val="ListNumber"/>
      </w:pPr>
      <w:r>
        <w:t>Tiêu chảy cấp phân nước đơn thuần.</w:t>
      </w:r>
    </w:p>
    <w:p>
      <w:pPr>
        <w:pStyle w:val="ListNumber"/>
      </w:pPr>
      <w:r>
        <w:t>Tiêu chảy phân máu (lưu ý STEC).</w:t>
      </w:r>
    </w:p>
    <w:p>
      <w:pPr>
        <w:pStyle w:val="ListNumber"/>
      </w:pPr>
      <w:r>
        <w:t>CDI sau dùng kháng sinh (chọn test và thuốc).</w:t>
      </w:r>
    </w:p>
    <w:p>
      <w:pPr>
        <w:pStyle w:val="ListNumber"/>
      </w:pPr>
      <w:r>
        <w:t>Tiêu chảy mạn tính phân viêm (triage IBD).</w:t>
      </w:r>
    </w:p>
    <w:p>
      <w:pPr>
        <w:pStyle w:val="Heading2"/>
      </w:pPr>
      <w:r>
        <w:t>Section 10: Sai lầm, Checkpoints, Self-check</w:t>
      </w:r>
    </w:p>
    <w:p>
      <w:pPr>
        <w:pStyle w:val="ListBullet"/>
      </w:pPr>
      <w:r>
        <w:t>8+ sai lầm (ví dụ: test CDI khi phân khuôn, dùng loperamide khi phân máu, dùng CRP để loại trừ IBD).</w:t>
      </w:r>
    </w:p>
    <w:p>
      <w:pPr>
        <w:pStyle w:val="ListBullet"/>
      </w:pPr>
      <w:r>
        <w:t>10 recall points.</w:t>
      </w:r>
    </w:p>
    <w:p>
      <w:pPr>
        <w:pStyle w:val="ListBullet"/>
      </w:pPr>
      <w:r>
        <w:t>Cross-links: IM-35, IM-16, IM-36, IM-40, IM-42.</w:t>
      </w:r>
    </w:p>
    <w:p/>
    <w:p>
      <w:pPr>
        <w:pStyle w:val="Heading1"/>
      </w:pPr>
      <w:r>
        <w:t>5. Hướng dẫn cho model execute</w:t>
      </w:r>
    </w:p>
    <w:p>
      <w:r>
        <w:rPr>
          <w:rFonts w:ascii="Consolas" w:hAnsi="Consolas"/>
          <w:sz w:val="18"/>
        </w:rPr>
        <w:t>Bạn là model execute. Nhiệm vụ: viết bài MD hoàn chỉnh từ brief này.</w:t>
        <w:br/>
        <w:br/>
        <w:t>QUY TẮC CỨNG:</w:t>
        <w:br/>
        <w:t>1. CHỈ dùng claims trong bảng "Claims đã verify" — KHÔNG thêm claim mới</w:t>
        <w:br/>
        <w:t>2. CHỈ dùng số liệu có tag [FULL VERIFIED] — nếu không có tag này, chỉ viết định tính</w:t>
        <w:br/>
        <w:t>3. CHỈ dùng kiến thức nền có nguồn trong bảng "Kiến thức nền"</w:t>
        <w:br/>
        <w:t>4. Với mỗi section, follow dàn ý chi tiết — thêm ví dụ, paraphrase, nhưng không thêm ý</w:t>
        <w:br/>
        <w:t>5. Tiếng Việt có dấu đầy đủ. Thuật ngữ y khoa giữ tiếng Anh.</w:t>
        <w:br/>
        <w:t>6. Thêm checkpoint (🛑) sau mỗi 2-3 section</w:t>
        <w:br/>
        <w:t>7. Nếu không chắc chắn về 1 claim → bỏ claim đó, không bịa</w:t>
        <w:br/>
        <w:br/>
        <w:t>OUTPUT: File MD hoàn chỉnh theo template_lesson.md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