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BRIEF: IM-42a — Viêm tụy cấp (Acute Pancreatitis)</w:t>
      </w:r>
    </w:p>
    <w:p>
      <w:r>
        <w:t>Bai hoc y khoa - IM-42a_RESEARCH_BRIEF</w:t>
      </w:r>
    </w:p>
    <w:p>
      <w:pPr>
        <w:pStyle w:val="Title"/>
      </w:pPr>
      <w:r>
        <w:t>RESEARCH BRIEF: IM-42a — Viêm tụy cấp (Acute Pancreatitis)</w:t>
      </w:r>
    </w:p>
    <w:p>
      <w:r>
        <w:rPr>
          <w:b/>
        </w:rPr>
        <w:t>Ngày:</w:t>
      </w:r>
      <w:r>
        <w:t xml:space="preserve"> 2026-07-23 | </w:t>
      </w:r>
      <w:r>
        <w:rPr>
          <w:b/>
        </w:rPr>
        <w:t>Model research:</w:t>
      </w:r>
      <w:r>
        <w:t xml:space="preserve"> DeepSeek V4 Pro / Gemini 3.6 | </w:t>
      </w:r>
      <w:r>
        <w:rPr>
          <w:b/>
        </w:rPr>
        <w:t>Model execute:</w:t>
      </w:r>
      <w:r>
        <w:t xml:space="preserve"> Assistant</w:t>
      </w:r>
    </w:p>
    <w:p>
      <w:r>
        <w:rPr>
          <w:b/>
        </w:rPr>
        <w:t>Contract:</w:t>
      </w:r>
      <w:r>
        <w:t xml:space="preserve"> Locked profile for standalone Acute Pancreatitis (disease)</w:t>
      </w:r>
    </w:p>
    <w:p/>
    <w:p>
      <w:pPr>
        <w:pStyle w:val="Heading1"/>
      </w:pPr>
      <w:r>
        <w:t>1. Core Verified Papers for Acute Pancreatitis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Type</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Target Scope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38857482</w:t>
            </w:r>
          </w:p>
        </w:tc>
        <w:tc>
          <w:tcPr>
            <w:tcW w:type="dxa" w:w="2160"/>
            <w:tcBorders>
              <w:top w:val="single" w:sz="4" w:color="000000"/>
              <w:left w:val="single" w:sz="4" w:color="000000"/>
              <w:bottom w:val="single" w:sz="4" w:color="000000"/>
              <w:right w:val="single" w:sz="4" w:color="000000"/>
            </w:tcBorders>
          </w:tcPr>
          <w:p>
            <w:r/>
            <w:r>
              <w:t>Guideline</w:t>
            </w:r>
          </w:p>
        </w:tc>
        <w:tc>
          <w:tcPr>
            <w:tcW w:type="dxa" w:w="2160"/>
            <w:tcBorders>
              <w:top w:val="single" w:sz="4" w:color="000000"/>
              <w:left w:val="single" w:sz="4" w:color="000000"/>
              <w:bottom w:val="single" w:sz="4" w:color="000000"/>
              <w:right w:val="single" w:sz="4" w:color="000000"/>
            </w:tcBorders>
          </w:tcPr>
          <w:p>
            <w:r/>
            <w:r>
              <w:t>ACG 2024 Guideline on Management of Acute Pancreatitis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24054878</w:t>
            </w:r>
          </w:p>
        </w:tc>
        <w:tc>
          <w:tcPr>
            <w:tcW w:type="dxa" w:w="2160"/>
            <w:tcBorders>
              <w:top w:val="single" w:sz="4" w:color="000000"/>
              <w:left w:val="single" w:sz="4" w:color="000000"/>
              <w:bottom w:val="single" w:sz="4" w:color="000000"/>
              <w:right w:val="single" w:sz="4" w:color="000000"/>
            </w:tcBorders>
          </w:tcPr>
          <w:p>
            <w:r/>
            <w:r>
              <w:t>Guideline</w:t>
            </w:r>
          </w:p>
        </w:tc>
        <w:tc>
          <w:tcPr>
            <w:tcW w:type="dxa" w:w="2160"/>
            <w:tcBorders>
              <w:top w:val="single" w:sz="4" w:color="000000"/>
              <w:left w:val="single" w:sz="4" w:color="000000"/>
              <w:bottom w:val="single" w:sz="4" w:color="000000"/>
              <w:right w:val="single" w:sz="4" w:color="000000"/>
            </w:tcBorders>
          </w:tcPr>
          <w:p>
            <w:r/>
            <w:r>
              <w:t>IAP/APA 2012 Evidence-based Guidelines for Management of AP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31210778</w:t>
            </w:r>
          </w:p>
        </w:tc>
        <w:tc>
          <w:tcPr>
            <w:tcW w:type="dxa" w:w="2160"/>
            <w:tcBorders>
              <w:top w:val="single" w:sz="4" w:color="000000"/>
              <w:left w:val="single" w:sz="4" w:color="000000"/>
              <w:bottom w:val="single" w:sz="4" w:color="000000"/>
              <w:right w:val="single" w:sz="4" w:color="000000"/>
            </w:tcBorders>
          </w:tcPr>
          <w:p>
            <w:r/>
            <w:r>
              <w:t>Guideline</w:t>
            </w:r>
          </w:p>
        </w:tc>
        <w:tc>
          <w:tcPr>
            <w:tcW w:type="dxa" w:w="2160"/>
            <w:tcBorders>
              <w:top w:val="single" w:sz="4" w:color="000000"/>
              <w:left w:val="single" w:sz="4" w:color="000000"/>
              <w:bottom w:val="single" w:sz="4" w:color="000000"/>
              <w:right w:val="single" w:sz="4" w:color="000000"/>
            </w:tcBorders>
          </w:tcPr>
          <w:p>
            <w:r/>
            <w:r>
              <w:t>WSES 2019 Guidelines for Management of Severe Acute Pancreatitis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23100216</w:t>
            </w:r>
          </w:p>
        </w:tc>
        <w:tc>
          <w:tcPr>
            <w:tcW w:type="dxa" w:w="2160"/>
            <w:tcBorders>
              <w:top w:val="single" w:sz="4" w:color="000000"/>
              <w:left w:val="single" w:sz="4" w:color="000000"/>
              <w:bottom w:val="single" w:sz="4" w:color="000000"/>
              <w:right w:val="single" w:sz="4" w:color="000000"/>
            </w:tcBorders>
          </w:tcPr>
          <w:p>
            <w:r/>
            <w:r>
              <w:t>Classification</w:t>
            </w:r>
          </w:p>
        </w:tc>
        <w:tc>
          <w:tcPr>
            <w:tcW w:type="dxa" w:w="2160"/>
            <w:tcBorders>
              <w:top w:val="single" w:sz="4" w:color="000000"/>
              <w:left w:val="single" w:sz="4" w:color="000000"/>
              <w:bottom w:val="single" w:sz="4" w:color="000000"/>
              <w:right w:val="single" w:sz="4" w:color="000000"/>
            </w:tcBorders>
          </w:tcPr>
          <w:p>
            <w:r/>
            <w:r>
              <w:t>Revised Atlanta 2012 Classification of Acute Pancreatitis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40085761</w:t>
            </w:r>
          </w:p>
        </w:tc>
        <w:tc>
          <w:tcPr>
            <w:tcW w:type="dxa" w:w="2160"/>
            <w:tcBorders>
              <w:top w:val="single" w:sz="4" w:color="000000"/>
              <w:left w:val="single" w:sz="4" w:color="000000"/>
              <w:bottom w:val="single" w:sz="4" w:color="000000"/>
              <w:right w:val="single" w:sz="4" w:color="000000"/>
            </w:tcBorders>
          </w:tcPr>
          <w:p>
            <w:r/>
            <w:r>
              <w:t>Meta-analysis</w:t>
            </w:r>
          </w:p>
        </w:tc>
        <w:tc>
          <w:tcPr>
            <w:tcW w:type="dxa" w:w="2160"/>
            <w:tcBorders>
              <w:top w:val="single" w:sz="4" w:color="000000"/>
              <w:left w:val="single" w:sz="4" w:color="000000"/>
              <w:bottom w:val="single" w:sz="4" w:color="000000"/>
              <w:right w:val="single" w:sz="4" w:color="000000"/>
            </w:tcBorders>
          </w:tcPr>
          <w:p>
            <w:r/>
            <w:r>
              <w:t>Ringer's Lactate vs Normal Saline in AP — Fluid Resuscitation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20464721</w:t>
            </w:r>
          </w:p>
        </w:tc>
        <w:tc>
          <w:tcPr>
            <w:tcW w:type="dxa" w:w="2160"/>
            <w:tcBorders>
              <w:top w:val="single" w:sz="4" w:color="000000"/>
              <w:left w:val="single" w:sz="4" w:color="000000"/>
              <w:bottom w:val="single" w:sz="4" w:color="000000"/>
              <w:right w:val="single" w:sz="4" w:color="000000"/>
            </w:tcBorders>
          </w:tcPr>
          <w:p>
            <w:r/>
            <w:r>
              <w:t>Cochrane SR</w:t>
            </w:r>
          </w:p>
        </w:tc>
        <w:tc>
          <w:tcPr>
            <w:tcW w:type="dxa" w:w="2160"/>
            <w:tcBorders>
              <w:top w:val="single" w:sz="4" w:color="000000"/>
              <w:left w:val="single" w:sz="4" w:color="000000"/>
              <w:bottom w:val="single" w:sz="4" w:color="000000"/>
              <w:right w:val="single" w:sz="4" w:color="000000"/>
            </w:tcBorders>
          </w:tcPr>
          <w:p>
            <w:r/>
            <w:r>
              <w:t>Antibiotic Prophylaxis in Necrotizing Pancreatitis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35026770</w:t>
            </w:r>
          </w:p>
        </w:tc>
        <w:tc>
          <w:tcPr>
            <w:tcW w:type="dxa" w:w="2160"/>
            <w:tcBorders>
              <w:top w:val="single" w:sz="4" w:color="000000"/>
              <w:left w:val="single" w:sz="4" w:color="000000"/>
              <w:bottom w:val="single" w:sz="4" w:color="000000"/>
              <w:right w:val="single" w:sz="4" w:color="000000"/>
            </w:tcBorders>
          </w:tcPr>
          <w:p>
            <w:r/>
            <w:r>
              <w:t>Meta-analysis</w:t>
            </w:r>
          </w:p>
        </w:tc>
        <w:tc>
          <w:tcPr>
            <w:tcW w:type="dxa" w:w="2160"/>
            <w:tcBorders>
              <w:top w:val="single" w:sz="4" w:color="000000"/>
              <w:left w:val="single" w:sz="4" w:color="000000"/>
              <w:bottom w:val="single" w:sz="4" w:color="000000"/>
              <w:right w:val="single" w:sz="4" w:color="000000"/>
            </w:tcBorders>
          </w:tcPr>
          <w:p>
            <w:r/>
            <w:r>
              <w:t>Carbapenem Prophylaxis in Severe Acute Pancreatitis (SAP)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28431198</w:t>
            </w:r>
          </w:p>
        </w:tc>
        <w:tc>
          <w:tcPr>
            <w:tcW w:type="dxa" w:w="2160"/>
            <w:tcBorders>
              <w:top w:val="single" w:sz="4" w:color="000000"/>
              <w:left w:val="single" w:sz="4" w:color="000000"/>
              <w:bottom w:val="single" w:sz="4" w:color="000000"/>
              <w:right w:val="single" w:sz="4" w:color="000000"/>
            </w:tcBorders>
          </w:tcPr>
          <w:p>
            <w:r/>
            <w:r>
              <w:t>Cochrane SR</w:t>
            </w:r>
          </w:p>
        </w:tc>
        <w:tc>
          <w:tcPr>
            <w:tcW w:type="dxa" w:w="2160"/>
            <w:tcBorders>
              <w:top w:val="single" w:sz="4" w:color="000000"/>
              <w:left w:val="single" w:sz="4" w:color="000000"/>
              <w:bottom w:val="single" w:sz="4" w:color="000000"/>
              <w:right w:val="single" w:sz="4" w:color="000000"/>
            </w:tcBorders>
          </w:tcPr>
          <w:p>
            <w:r/>
            <w:r>
              <w:t>Diagnostic Accuracy of Amylase vs Lipase in Acute Pancreatitis</w:t>
            </w:r>
          </w:p>
        </w:tc>
      </w:tr>
    </w:tbl>
    <w:p/>
    <w:p>
      <w:pPr>
        <w:pStyle w:val="Heading1"/>
      </w:pPr>
      <w:r>
        <w:t>2. Claims Already Verified (Strict Evidence Only)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Verified Claim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Tag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t>Ringer's Lactate làm giảm tiến triển moderate-to-severe AP so với Normal Saline: OR 0.48 (95% CI 0.34-0.67)</w:t>
            </w:r>
          </w:p>
        </w:tc>
        <w:tc>
          <w:tcPr>
            <w:tcW w:type="dxa" w:w="2160"/>
            <w:tcBorders>
              <w:top w:val="single" w:sz="4" w:color="000000"/>
              <w:left w:val="single" w:sz="4" w:color="000000"/>
              <w:bottom w:val="single" w:sz="4" w:color="000000"/>
              <w:right w:val="single" w:sz="4" w:color="000000"/>
            </w:tcBorders>
          </w:tcPr>
          <w:p>
            <w:r/>
            <w:r>
              <w:t>40085761</w:t>
            </w:r>
          </w:p>
        </w:tc>
        <w:tc>
          <w:tcPr>
            <w:tcW w:type="dxa" w:w="2160"/>
            <w:tcBorders>
              <w:top w:val="single" w:sz="4" w:color="000000"/>
              <w:left w:val="single" w:sz="4" w:color="000000"/>
              <w:bottom w:val="single" w:sz="4" w:color="000000"/>
              <w:right w:val="single" w:sz="4" w:color="000000"/>
            </w:tcBorders>
          </w:tcPr>
          <w:p>
            <w:r/>
            <w:r>
              <w:t>[FULL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t>Ringer's Lactate làm giảm tỷ lệ nhập ICU: RR 0.42 (95% CI 0.20-0.89)</w:t>
            </w:r>
          </w:p>
        </w:tc>
        <w:tc>
          <w:tcPr>
            <w:tcW w:type="dxa" w:w="2160"/>
            <w:tcBorders>
              <w:top w:val="single" w:sz="4" w:color="000000"/>
              <w:left w:val="single" w:sz="4" w:color="000000"/>
              <w:bottom w:val="single" w:sz="4" w:color="000000"/>
              <w:right w:val="single" w:sz="4" w:color="000000"/>
            </w:tcBorders>
          </w:tcPr>
          <w:p>
            <w:r/>
            <w:r>
              <w:t>40085761</w:t>
            </w:r>
          </w:p>
        </w:tc>
        <w:tc>
          <w:tcPr>
            <w:tcW w:type="dxa" w:w="2160"/>
            <w:tcBorders>
              <w:top w:val="single" w:sz="4" w:color="000000"/>
              <w:left w:val="single" w:sz="4" w:color="000000"/>
              <w:bottom w:val="single" w:sz="4" w:color="000000"/>
              <w:right w:val="single" w:sz="4" w:color="000000"/>
            </w:tcBorders>
          </w:tcPr>
          <w:p>
            <w:r/>
            <w:r>
              <w:t>[FULL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t>Ringer's Lactate làm giảm thời gian nằm viện: MD -0.74 ngày (95% CI -1.20 đến -0.28)</w:t>
            </w:r>
          </w:p>
        </w:tc>
        <w:tc>
          <w:tcPr>
            <w:tcW w:type="dxa" w:w="2160"/>
            <w:tcBorders>
              <w:top w:val="single" w:sz="4" w:color="000000"/>
              <w:left w:val="single" w:sz="4" w:color="000000"/>
              <w:bottom w:val="single" w:sz="4" w:color="000000"/>
              <w:right w:val="single" w:sz="4" w:color="000000"/>
            </w:tcBorders>
          </w:tcPr>
          <w:p>
            <w:r/>
            <w:r>
              <w:t>40085761</w:t>
            </w:r>
          </w:p>
        </w:tc>
        <w:tc>
          <w:tcPr>
            <w:tcW w:type="dxa" w:w="2160"/>
            <w:tcBorders>
              <w:top w:val="single" w:sz="4" w:color="000000"/>
              <w:left w:val="single" w:sz="4" w:color="000000"/>
              <w:bottom w:val="single" w:sz="4" w:color="000000"/>
              <w:right w:val="single" w:sz="4" w:color="000000"/>
            </w:tcBorders>
          </w:tcPr>
          <w:p>
            <w:r/>
            <w:r>
              <w:t>[FULL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t>Cochrane 2010: Kháng sinh dự phòng KHÔNG làm giảm tỷ lệ tử vong ở bệnh nhân hoại tử tụy vô trùng</w:t>
            </w:r>
          </w:p>
        </w:tc>
        <w:tc>
          <w:tcPr>
            <w:tcW w:type="dxa" w:w="2160"/>
            <w:tcBorders>
              <w:top w:val="single" w:sz="4" w:color="000000"/>
              <w:left w:val="single" w:sz="4" w:color="000000"/>
              <w:bottom w:val="single" w:sz="4" w:color="000000"/>
              <w:right w:val="single" w:sz="4" w:color="000000"/>
            </w:tcBorders>
          </w:tcPr>
          <w:p>
            <w:r/>
            <w:r>
              <w:t>20464721</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t>Kháng sinh nhóm Carbapenem dự phòng KHÔNG được khuyến cáo sử dụng thường quy trong SAP</w:t>
            </w:r>
          </w:p>
        </w:tc>
        <w:tc>
          <w:tcPr>
            <w:tcW w:type="dxa" w:w="2160"/>
            <w:tcBorders>
              <w:top w:val="single" w:sz="4" w:color="000000"/>
              <w:left w:val="single" w:sz="4" w:color="000000"/>
              <w:bottom w:val="single" w:sz="4" w:color="000000"/>
              <w:right w:val="single" w:sz="4" w:color="000000"/>
            </w:tcBorders>
          </w:tcPr>
          <w:p>
            <w:r/>
            <w:r>
              <w:t>35026770</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t>Cochrane 2017: Chẩn đoán AP có khoảng ~25% trường hợp amylase/lipase bình thường (âm tính giả) do đến muộn hoặc tăng triglyceride</w:t>
            </w:r>
          </w:p>
        </w:tc>
        <w:tc>
          <w:tcPr>
            <w:tcW w:type="dxa" w:w="2160"/>
            <w:tcBorders>
              <w:top w:val="single" w:sz="4" w:color="000000"/>
              <w:left w:val="single" w:sz="4" w:color="000000"/>
              <w:bottom w:val="single" w:sz="4" w:color="000000"/>
              <w:right w:val="single" w:sz="4" w:color="000000"/>
            </w:tcBorders>
          </w:tcPr>
          <w:p>
            <w:r/>
            <w:r>
              <w:t>28431198</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t>Cochrane 2017: Khoảng ~10% bệnh nhân không bị viêm tụy cấp nhưng có amylase/lipase tăng (dương tính giả) do suy thận, thủng tạng rỗng</w:t>
            </w:r>
          </w:p>
        </w:tc>
        <w:tc>
          <w:tcPr>
            <w:tcW w:type="dxa" w:w="2160"/>
            <w:tcBorders>
              <w:top w:val="single" w:sz="4" w:color="000000"/>
              <w:left w:val="single" w:sz="4" w:color="000000"/>
              <w:bottom w:val="single" w:sz="4" w:color="000000"/>
              <w:right w:val="single" w:sz="4" w:color="000000"/>
            </w:tcBorders>
          </w:tcPr>
          <w:p>
            <w:r/>
            <w:r>
              <w:t>28431198</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t>WSES 2019: ~20-30% bệnh nhân viêm tụy cấp tiến triển thành severe AP; trong nhóm severe AP, 20-40% có hoại tử tụy nhiễm trùng</w:t>
            </w:r>
          </w:p>
        </w:tc>
        <w:tc>
          <w:tcPr>
            <w:tcW w:type="dxa" w:w="2160"/>
            <w:tcBorders>
              <w:top w:val="single" w:sz="4" w:color="000000"/>
              <w:left w:val="single" w:sz="4" w:color="000000"/>
              <w:bottom w:val="single" w:sz="4" w:color="000000"/>
              <w:right w:val="single" w:sz="4" w:color="000000"/>
            </w:tcBorders>
          </w:tcPr>
          <w:p>
            <w:r/>
            <w:r>
              <w:t>31210778</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t>IAP/APA 2012: Phác đồ chuẩn gồm 38 khuyến cáo trên 12 chủ đề chính với 55% khuyến cáo mức độ mạnh (GRADE)</w:t>
            </w:r>
          </w:p>
        </w:tc>
        <w:tc>
          <w:tcPr>
            <w:tcW w:type="dxa" w:w="2160"/>
            <w:tcBorders>
              <w:top w:val="single" w:sz="4" w:color="000000"/>
              <w:left w:val="single" w:sz="4" w:color="000000"/>
              <w:bottom w:val="single" w:sz="4" w:color="000000"/>
              <w:right w:val="single" w:sz="4" w:color="000000"/>
            </w:tcBorders>
          </w:tcPr>
          <w:p>
            <w:r/>
            <w:r>
              <w:t>24054878</w:t>
            </w:r>
          </w:p>
        </w:tc>
        <w:tc>
          <w:tcPr>
            <w:tcW w:type="dxa" w:w="2160"/>
            <w:tcBorders>
              <w:top w:val="single" w:sz="4" w:color="000000"/>
              <w:left w:val="single" w:sz="4" w:color="000000"/>
              <w:bottom w:val="single" w:sz="4" w:color="000000"/>
              <w:right w:val="single" w:sz="4" w:color="000000"/>
            </w:tcBorders>
          </w:tcPr>
          <w:p>
            <w:r/>
            <w:r>
              <w:t>[ABSTRACT VERIFIED]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t>Revised Atlanta 2012: Chẩn đoán Viêm tụy cấp khi có ít nhất 2 trong 3 tiêu chuẩn (Đau bụng thượng vị điển hình, Lipase/Amylase máu &gt;3 lần giới hạn trên bình thường, Hình ảnh học CT/MRI/US phù hợp)</w:t>
            </w:r>
          </w:p>
        </w:tc>
        <w:tc>
          <w:tcPr>
            <w:tcW w:type="dxa" w:w="2160"/>
            <w:tcBorders>
              <w:top w:val="single" w:sz="4" w:color="000000"/>
              <w:left w:val="single" w:sz="4" w:color="000000"/>
              <w:bottom w:val="single" w:sz="4" w:color="000000"/>
              <w:right w:val="single" w:sz="4" w:color="000000"/>
            </w:tcBorders>
          </w:tcPr>
          <w:p>
            <w:r/>
            <w:r>
              <w:t>23100216</w:t>
            </w:r>
          </w:p>
        </w:tc>
        <w:tc>
          <w:tcPr>
            <w:tcW w:type="dxa" w:w="2160"/>
            <w:tcBorders>
              <w:top w:val="single" w:sz="4" w:color="000000"/>
              <w:left w:val="single" w:sz="4" w:color="000000"/>
              <w:bottom w:val="single" w:sz="4" w:color="000000"/>
              <w:right w:val="single" w:sz="4" w:color="000000"/>
            </w:tcBorders>
          </w:tcPr>
          <w:p>
            <w:r/>
            <w:r>
              <w:t>[ABSTRACT VERIFIED]</w:t>
            </w:r>
          </w:p>
        </w:tc>
      </w:tr>
    </w:tbl>
    <w:p/>
    <w:p>
      <w:pPr>
        <w:pStyle w:val="Heading1"/>
      </w:pPr>
      <w:r>
        <w:t>3. Textbook Consensus Knowledge</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Subject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Source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t>Giải phẫu tụy: Nằm sau phúc mạc, chia làm đầu, thân, đuôi tụy; ống Wirsung hợp với ống mật chủ tại bóng Vater mở vào tá tràng D2 qua cơ Oddi.</w:t>
            </w:r>
          </w:p>
        </w:tc>
        <w:tc>
          <w:tcPr>
            <w:tcW w:type="dxa" w:w="2880"/>
            <w:tcBorders>
              <w:top w:val="single" w:sz="4" w:color="000000"/>
              <w:left w:val="single" w:sz="4" w:color="000000"/>
              <w:bottom w:val="single" w:sz="4" w:color="000000"/>
              <w:right w:val="single" w:sz="4" w:color="000000"/>
            </w:tcBorders>
          </w:tcPr>
          <w:p>
            <w:r/>
            <w:r>
              <w:t>Sleisenger and Fordtran 11e, Ch.55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t>Sinh lý Zymogen: Các enzyme tiêu hóa (Trypsinogen, Chymotrypsinogen, Lipase, Amylase) được tổng hợp dưới dạng tiền chất bất hoạt zymogen trong tế bào nang tụy; chỉ được kích hoạt bởi Enterokinase tại tá tràng.</w:t>
            </w:r>
          </w:p>
        </w:tc>
        <w:tc>
          <w:tcPr>
            <w:tcW w:type="dxa" w:w="2880"/>
            <w:tcBorders>
              <w:top w:val="single" w:sz="4" w:color="000000"/>
              <w:left w:val="single" w:sz="4" w:color="000000"/>
              <w:bottom w:val="single" w:sz="4" w:color="000000"/>
              <w:right w:val="single" w:sz="4" w:color="000000"/>
            </w:tcBorders>
          </w:tcPr>
          <w:p>
            <w:r/>
            <w:r>
              <w:t>Guyton and Hall 14e, Ch.65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t>Cơ chế bảo vệ chống tự tiêu: Enzyme zymogen + PSTI (Pancreatic Secretory Trypsin Inhibitor / SPINK1) + pH nội bào thấp.</w:t>
            </w:r>
          </w:p>
        </w:tc>
        <w:tc>
          <w:tcPr>
            <w:tcW w:type="dxa" w:w="2880"/>
            <w:tcBorders>
              <w:top w:val="single" w:sz="4" w:color="000000"/>
              <w:left w:val="single" w:sz="4" w:color="000000"/>
              <w:bottom w:val="single" w:sz="4" w:color="000000"/>
              <w:right w:val="single" w:sz="4" w:color="000000"/>
            </w:tcBorders>
          </w:tcPr>
          <w:p>
            <w:r/>
            <w:r>
              <w:t>Sleisenger and Fordtran 11e, Ch.55</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t>Mnemonic nguyên nhân "I GET SMASHED": Idiopathic, Gallstones, Ethanol, Trauma, Steroids, Mumps, Autoimmune, Scorpion sting, Hypercalcemia/Hypertriglyceridemia, ERCP, Drugs.</w:t>
            </w:r>
          </w:p>
        </w:tc>
        <w:tc>
          <w:tcPr>
            <w:tcW w:type="dxa" w:w="2880"/>
            <w:tcBorders>
              <w:top w:val="single" w:sz="4" w:color="000000"/>
              <w:left w:val="single" w:sz="4" w:color="000000"/>
              <w:bottom w:val="single" w:sz="4" w:color="000000"/>
              <w:right w:val="single" w:sz="4" w:color="000000"/>
            </w:tcBorders>
          </w:tcPr>
          <w:p>
            <w:r/>
            <w:r>
              <w:t>Sleisenger and Fordtran 11e, Ch.58</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880"/>
            <w:tcBorders>
              <w:top w:val="single" w:sz="4" w:color="000000"/>
              <w:left w:val="single" w:sz="4" w:color="000000"/>
              <w:bottom w:val="single" w:sz="4" w:color="000000"/>
              <w:right w:val="single" w:sz="4" w:color="000000"/>
            </w:tcBorders>
          </w:tcPr>
          <w:p>
            <w:r/>
            <w:r>
              <w:t>Phản ứng viêm toàn thân SIRS &amp; MODS: Sự giải phóng Trypsin kích hoạt Phospholipase A2, Elastase và NLRP3 Inflammasome dẫn tới hoại tử tụy, rò rỉ mao mạch toàn thân, giảm thể tích tuần hoàn hiệu dụng và suy đa tạng.</w:t>
            </w:r>
          </w:p>
        </w:tc>
        <w:tc>
          <w:tcPr>
            <w:tcW w:type="dxa" w:w="2880"/>
            <w:tcBorders>
              <w:top w:val="single" w:sz="4" w:color="000000"/>
              <w:left w:val="single" w:sz="4" w:color="000000"/>
              <w:bottom w:val="single" w:sz="4" w:color="000000"/>
              <w:right w:val="single" w:sz="4" w:color="000000"/>
            </w:tcBorders>
          </w:tcPr>
          <w:p>
            <w:r/>
            <w:r>
              <w:t>Guyton and Hall 14e, Ch.24</w:t>
            </w:r>
          </w:p>
        </w:tc>
      </w:tr>
    </w:tbl>
    <w:p/>
    <w:p>
      <w:pPr>
        <w:pStyle w:val="Heading1"/>
      </w:pPr>
      <w:r>
        <w:t>4. Lab Values Reference in Vietnam</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Xét nghiệm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Đơn vị VN</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Khoảng tham chiếu</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Ghi chú / Ngưỡng lâm sàng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Lipase máu</w:t>
            </w:r>
          </w:p>
        </w:tc>
        <w:tc>
          <w:tcPr>
            <w:tcW w:type="dxa" w:w="2160"/>
            <w:tcBorders>
              <w:top w:val="single" w:sz="4" w:color="000000"/>
              <w:left w:val="single" w:sz="4" w:color="000000"/>
              <w:bottom w:val="single" w:sz="4" w:color="000000"/>
              <w:right w:val="single" w:sz="4" w:color="000000"/>
            </w:tcBorders>
          </w:tcPr>
          <w:p>
            <w:r/>
            <w:r>
              <w:t>U/L</w:t>
            </w:r>
          </w:p>
        </w:tc>
        <w:tc>
          <w:tcPr>
            <w:tcW w:type="dxa" w:w="2160"/>
            <w:tcBorders>
              <w:top w:val="single" w:sz="4" w:color="000000"/>
              <w:left w:val="single" w:sz="4" w:color="000000"/>
              <w:bottom w:val="single" w:sz="4" w:color="000000"/>
              <w:right w:val="single" w:sz="4" w:color="000000"/>
            </w:tcBorders>
          </w:tcPr>
          <w:p>
            <w:r/>
            <w:r>
              <w:t>13 - 60 U/L</w:t>
            </w:r>
          </w:p>
        </w:tc>
        <w:tc>
          <w:tcPr>
            <w:tcW w:type="dxa" w:w="2160"/>
            <w:tcBorders>
              <w:top w:val="single" w:sz="4" w:color="000000"/>
              <w:left w:val="single" w:sz="4" w:color="000000"/>
              <w:bottom w:val="single" w:sz="4" w:color="000000"/>
              <w:right w:val="single" w:sz="4" w:color="000000"/>
            </w:tcBorders>
          </w:tcPr>
          <w:p>
            <w:r/>
            <w:r>
              <w:t>Lipase &gt; 3x ULN ( &gt; 180 U/L) gợi ý VTC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Amylase máu</w:t>
            </w:r>
          </w:p>
        </w:tc>
        <w:tc>
          <w:tcPr>
            <w:tcW w:type="dxa" w:w="2160"/>
            <w:tcBorders>
              <w:top w:val="single" w:sz="4" w:color="000000"/>
              <w:left w:val="single" w:sz="4" w:color="000000"/>
              <w:bottom w:val="single" w:sz="4" w:color="000000"/>
              <w:right w:val="single" w:sz="4" w:color="000000"/>
            </w:tcBorders>
          </w:tcPr>
          <w:p>
            <w:r/>
            <w:r>
              <w:t>U/L</w:t>
            </w:r>
          </w:p>
        </w:tc>
        <w:tc>
          <w:tcPr>
            <w:tcW w:type="dxa" w:w="2160"/>
            <w:tcBorders>
              <w:top w:val="single" w:sz="4" w:color="000000"/>
              <w:left w:val="single" w:sz="4" w:color="000000"/>
              <w:bottom w:val="single" w:sz="4" w:color="000000"/>
              <w:right w:val="single" w:sz="4" w:color="000000"/>
            </w:tcBorders>
          </w:tcPr>
          <w:p>
            <w:r/>
            <w:r>
              <w:t>28 - 100 U/L</w:t>
            </w:r>
          </w:p>
        </w:tc>
        <w:tc>
          <w:tcPr>
            <w:tcW w:type="dxa" w:w="2160"/>
            <w:tcBorders>
              <w:top w:val="single" w:sz="4" w:color="000000"/>
              <w:left w:val="single" w:sz="4" w:color="000000"/>
              <w:bottom w:val="single" w:sz="4" w:color="000000"/>
              <w:right w:val="single" w:sz="4" w:color="000000"/>
            </w:tcBorders>
          </w:tcPr>
          <w:p>
            <w:r/>
            <w:r>
              <w:t>Amylase &gt; 3x ULN ( &gt; 300 U/L) gợi ý VTC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Triglyceride</w:t>
            </w:r>
          </w:p>
        </w:tc>
        <w:tc>
          <w:tcPr>
            <w:tcW w:type="dxa" w:w="2160"/>
            <w:tcBorders>
              <w:top w:val="single" w:sz="4" w:color="000000"/>
              <w:left w:val="single" w:sz="4" w:color="000000"/>
              <w:bottom w:val="single" w:sz="4" w:color="000000"/>
              <w:right w:val="single" w:sz="4" w:color="000000"/>
            </w:tcBorders>
          </w:tcPr>
          <w:p>
            <w:r/>
            <w:r>
              <w:t>mmol/L</w:t>
            </w:r>
          </w:p>
        </w:tc>
        <w:tc>
          <w:tcPr>
            <w:tcW w:type="dxa" w:w="2160"/>
            <w:tcBorders>
              <w:top w:val="single" w:sz="4" w:color="000000"/>
              <w:left w:val="single" w:sz="4" w:color="000000"/>
              <w:bottom w:val="single" w:sz="4" w:color="000000"/>
              <w:right w:val="single" w:sz="4" w:color="000000"/>
            </w:tcBorders>
          </w:tcPr>
          <w:p>
            <w:r/>
            <w:r>
              <w:t>&lt; 1.7 mmol/L</w:t>
            </w:r>
          </w:p>
        </w:tc>
        <w:tc>
          <w:tcPr>
            <w:tcW w:type="dxa" w:w="2160"/>
            <w:tcBorders>
              <w:top w:val="single" w:sz="4" w:color="000000"/>
              <w:left w:val="single" w:sz="4" w:color="000000"/>
              <w:bottom w:val="single" w:sz="4" w:color="000000"/>
              <w:right w:val="single" w:sz="4" w:color="000000"/>
            </w:tcBorders>
          </w:tcPr>
          <w:p>
            <w:r/>
            <w:r>
              <w:t>&gt; 11.3 mmol/L (&gt; 1000 mg/dL) nguy cơ cao gây VTC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Calcium máu</w:t>
            </w:r>
          </w:p>
        </w:tc>
        <w:tc>
          <w:tcPr>
            <w:tcW w:type="dxa" w:w="2160"/>
            <w:tcBorders>
              <w:top w:val="single" w:sz="4" w:color="000000"/>
              <w:left w:val="single" w:sz="4" w:color="000000"/>
              <w:bottom w:val="single" w:sz="4" w:color="000000"/>
              <w:right w:val="single" w:sz="4" w:color="000000"/>
            </w:tcBorders>
          </w:tcPr>
          <w:p>
            <w:r/>
            <w:r>
              <w:t>mmol/L</w:t>
            </w:r>
          </w:p>
        </w:tc>
        <w:tc>
          <w:tcPr>
            <w:tcW w:type="dxa" w:w="2160"/>
            <w:tcBorders>
              <w:top w:val="single" w:sz="4" w:color="000000"/>
              <w:left w:val="single" w:sz="4" w:color="000000"/>
              <w:bottom w:val="single" w:sz="4" w:color="000000"/>
              <w:right w:val="single" w:sz="4" w:color="000000"/>
            </w:tcBorders>
          </w:tcPr>
          <w:p>
            <w:r/>
            <w:r>
              <w:t>2.2 - 2.6 mmol/L</w:t>
            </w:r>
          </w:p>
        </w:tc>
        <w:tc>
          <w:tcPr>
            <w:tcW w:type="dxa" w:w="2160"/>
            <w:tcBorders>
              <w:top w:val="single" w:sz="4" w:color="000000"/>
              <w:left w:val="single" w:sz="4" w:color="000000"/>
              <w:bottom w:val="single" w:sz="4" w:color="000000"/>
              <w:right w:val="single" w:sz="4" w:color="000000"/>
            </w:tcBorders>
          </w:tcPr>
          <w:p>
            <w:r/>
            <w:r>
              <w:t>Hạ Calcium (&lt; 2.0 mmol/L) gợi ý xà phòng hóa mỡ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CRP</w:t>
            </w:r>
          </w:p>
        </w:tc>
        <w:tc>
          <w:tcPr>
            <w:tcW w:type="dxa" w:w="2160"/>
            <w:tcBorders>
              <w:top w:val="single" w:sz="4" w:color="000000"/>
              <w:left w:val="single" w:sz="4" w:color="000000"/>
              <w:bottom w:val="single" w:sz="4" w:color="000000"/>
              <w:right w:val="single" w:sz="4" w:color="000000"/>
            </w:tcBorders>
          </w:tcPr>
          <w:p>
            <w:r/>
            <w:r>
              <w:t>mg/L</w:t>
            </w:r>
          </w:p>
        </w:tc>
        <w:tc>
          <w:tcPr>
            <w:tcW w:type="dxa" w:w="2160"/>
            <w:tcBorders>
              <w:top w:val="single" w:sz="4" w:color="000000"/>
              <w:left w:val="single" w:sz="4" w:color="000000"/>
              <w:bottom w:val="single" w:sz="4" w:color="000000"/>
              <w:right w:val="single" w:sz="4" w:color="000000"/>
            </w:tcBorders>
          </w:tcPr>
          <w:p>
            <w:r/>
            <w:r>
              <w:t>&lt; 5 mg/L</w:t>
            </w:r>
          </w:p>
        </w:tc>
        <w:tc>
          <w:tcPr>
            <w:tcW w:type="dxa" w:w="2160"/>
            <w:tcBorders>
              <w:top w:val="single" w:sz="4" w:color="000000"/>
              <w:left w:val="single" w:sz="4" w:color="000000"/>
              <w:bottom w:val="single" w:sz="4" w:color="000000"/>
              <w:right w:val="single" w:sz="4" w:color="000000"/>
            </w:tcBorders>
          </w:tcPr>
          <w:p>
            <w:r/>
            <w:r>
              <w:t>CRP &gt; 150 mg/L ở 48h gợi ý VTC hoại tử nặng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BUN</w:t>
            </w:r>
          </w:p>
        </w:tc>
        <w:tc>
          <w:tcPr>
            <w:tcW w:type="dxa" w:w="2160"/>
            <w:tcBorders>
              <w:top w:val="single" w:sz="4" w:color="000000"/>
              <w:left w:val="single" w:sz="4" w:color="000000"/>
              <w:bottom w:val="single" w:sz="4" w:color="000000"/>
              <w:right w:val="single" w:sz="4" w:color="000000"/>
            </w:tcBorders>
          </w:tcPr>
          <w:p>
            <w:r/>
            <w:r>
              <w:t>mmol/L</w:t>
            </w:r>
          </w:p>
        </w:tc>
        <w:tc>
          <w:tcPr>
            <w:tcW w:type="dxa" w:w="2160"/>
            <w:tcBorders>
              <w:top w:val="single" w:sz="4" w:color="000000"/>
              <w:left w:val="single" w:sz="4" w:color="000000"/>
              <w:bottom w:val="single" w:sz="4" w:color="000000"/>
              <w:right w:val="single" w:sz="4" w:color="000000"/>
            </w:tcBorders>
          </w:tcPr>
          <w:p>
            <w:r/>
            <w:r>
              <w:t>2.5 - 7.1 mmol/L</w:t>
            </w:r>
          </w:p>
        </w:tc>
        <w:tc>
          <w:tcPr>
            <w:tcW w:type="dxa" w:w="2160"/>
            <w:tcBorders>
              <w:top w:val="single" w:sz="4" w:color="000000"/>
              <w:left w:val="single" w:sz="4" w:color="000000"/>
              <w:bottom w:val="single" w:sz="4" w:color="000000"/>
              <w:right w:val="single" w:sz="4" w:color="000000"/>
            </w:tcBorders>
          </w:tcPr>
          <w:p>
            <w:r/>
            <w:r>
              <w:t>BUN tăng &gt; 1.8 mmol/L sau 24h bù dịch gợi ý tiên lượng xấu</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Hematocrit</w:t>
            </w:r>
          </w:p>
        </w:tc>
        <w:tc>
          <w:tcPr>
            <w:tcW w:type="dxa" w:w="2160"/>
            <w:tcBorders>
              <w:top w:val="single" w:sz="4" w:color="000000"/>
              <w:left w:val="single" w:sz="4" w:color="000000"/>
              <w:bottom w:val="single" w:sz="4" w:color="000000"/>
              <w:right w:val="single" w:sz="4" w:color="000000"/>
            </w:tcBorders>
          </w:tcPr>
          <w:p>
            <w:r/>
            <w:r>
              <w:t>%</w:t>
            </w:r>
          </w:p>
        </w:tc>
        <w:tc>
          <w:tcPr>
            <w:tcW w:type="dxa" w:w="2160"/>
            <w:tcBorders>
              <w:top w:val="single" w:sz="4" w:color="000000"/>
              <w:left w:val="single" w:sz="4" w:color="000000"/>
              <w:bottom w:val="single" w:sz="4" w:color="000000"/>
              <w:right w:val="single" w:sz="4" w:color="000000"/>
            </w:tcBorders>
          </w:tcPr>
          <w:p>
            <w:r/>
            <w:r>
              <w:t>38 - 48%</w:t>
            </w:r>
          </w:p>
        </w:tc>
        <w:tc>
          <w:tcPr>
            <w:tcW w:type="dxa" w:w="2160"/>
            <w:tcBorders>
              <w:top w:val="single" w:sz="4" w:color="000000"/>
              <w:left w:val="single" w:sz="4" w:color="000000"/>
              <w:bottom w:val="single" w:sz="4" w:color="000000"/>
              <w:right w:val="single" w:sz="4" w:color="000000"/>
            </w:tcBorders>
          </w:tcPr>
          <w:p>
            <w:r/>
            <w:r>
              <w:t>Hct &gt; 44% phản ánh cô đặc máu, tăng nguy cơ hoại tử</w:t>
            </w:r>
          </w:p>
        </w:tc>
      </w:tr>
    </w:tbl>
    <w:p/>
    <w:p>
      <w:pPr>
        <w:pStyle w:val="Heading1"/>
      </w:pPr>
      <w:r>
        <w:t>5. Implementation Directives</w:t>
      </w:r>
    </w:p>
    <w:p>
      <w:pPr>
        <w:pStyle w:val="ListBullet"/>
      </w:pPr>
      <w:r>
        <w:rPr>
          <w:b/>
        </w:rPr>
        <w:t>Zero Mermaid/HTML/LaTeX</w:t>
      </w:r>
      <w:r>
        <w:t xml:space="preserve">: Flowcharts must use plain text arrows </w:t>
      </w:r>
      <w:r>
        <w:rPr>
          <w:rFonts w:ascii="Consolas" w:hAnsi="Consolas"/>
        </w:rPr>
        <w:t>→</w:t>
      </w:r>
      <w:r>
        <w:t xml:space="preserve">, </w:t>
      </w:r>
      <w:r>
        <w:rPr>
          <w:rFonts w:ascii="Consolas" w:hAnsi="Consolas"/>
        </w:rPr>
        <w:t>├──</w:t>
      </w:r>
      <w:r>
        <w:t xml:space="preserve">, </w:t>
      </w:r>
      <w:r>
        <w:rPr>
          <w:rFonts w:ascii="Consolas" w:hAnsi="Consolas"/>
        </w:rPr>
        <w:t>└──</w:t>
      </w:r>
      <w:r>
        <w:t>.</w:t>
      </w:r>
    </w:p>
    <w:p>
      <w:pPr>
        <w:pStyle w:val="ListBullet"/>
      </w:pPr>
      <w:r>
        <w:rPr>
          <w:b/>
        </w:rPr>
        <w:t>19-Section Template Strict Compliance</w:t>
      </w:r>
      <w:r>
        <w:t xml:space="preserve">: All required sections from </w:t>
      </w:r>
      <w:r>
        <w:rPr>
          <w:rFonts w:ascii="Consolas" w:hAnsi="Consolas"/>
        </w:rPr>
        <w:t>template_lesson.md</w:t>
      </w:r>
      <w:r>
        <w:t xml:space="preserve"> must be present in order.</w:t>
      </w:r>
    </w:p>
    <w:p>
      <w:pPr>
        <w:pStyle w:val="ListBullet"/>
      </w:pPr>
      <w:r>
        <w:rPr>
          <w:b/>
        </w:rPr>
        <w:t>Output File</w:t>
      </w:r>
      <w:r>
        <w:t xml:space="preserve">: </w:t>
      </w:r>
      <w:r>
        <w:rPr>
          <w:rFonts w:ascii="Consolas" w:hAnsi="Consolas"/>
        </w:rPr>
        <w:t>F:\DL\mavisresearch\Bai hoc y khoa\11_Noi khoa\IM-42a_Viem_tuy_cap\IM-42a_Viem_tuy_cap_2026-07-23_RELEASE_v1.md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