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BRIEF: Sinh lý Nephron</w:t>
      </w:r>
    </w:p>
    <w:p>
      <w:r>
        <w:t>Bai hoc y khoa - Sinh_ly_nephron_2026-07-22_RESEARCH_BRIEF</w:t>
      </w:r>
    </w:p>
    <w:p>
      <w:pPr>
        <w:pStyle w:val="Title"/>
      </w:pPr>
      <w:r>
        <w:t>RESEARCH BRIEF: Sinh lý Nephron</w:t>
      </w:r>
    </w:p>
    <w:p>
      <w:r>
        <w:rPr>
          <w:b/>
        </w:rPr>
        <w:t>Ngày:</w:t>
      </w:r>
      <w:r>
        <w:t xml:space="preserve"> 2026-07-22 | </w:t>
      </w:r>
      <w:r>
        <w:rPr>
          <w:b/>
        </w:rPr>
        <w:t>Research:</w:t>
      </w:r>
      <w:r>
        <w:t xml:space="preserve"> Terra | </w:t>
      </w:r>
      <w:r>
        <w:rPr>
          <w:b/>
        </w:rPr>
        <w:t>Execute:</w:t>
      </w:r>
      <w:r>
        <w:t xml:space="preserve"> Terra  </w:t>
      </w:r>
    </w:p>
    <w:p>
      <w:r>
        <w:rPr>
          <w:b/>
        </w:rPr>
        <w:t>Vai trò:</w:t>
      </w:r>
      <w:r>
        <w:t xml:space="preserve"> Bài nền sinh lý duy nhất cho </w:t>
      </w:r>
      <w:r>
        <w:rPr>
          <w:rFonts w:ascii="Consolas" w:hAnsi="Consolas"/>
        </w:rPr>
        <w:t>../Thuoc_loi_tieu/</w:t>
      </w:r>
      <w:r>
        <w:t>. Không dạy lựa chọn thuốc ngoài đoạn cầu nối ngắn.</w:t>
      </w:r>
    </w:p>
    <w:p/>
    <w:p>
      <w:pPr>
        <w:pStyle w:val="Heading1"/>
      </w:pPr>
      <w:r>
        <w:t>1. Papers và nguồn đã chọn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Lý do chọn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 xml:space="preserve">Hall JE, Hall ME. </w:t>
            </w:r>
            <w:r>
              <w:rPr>
                <w:i/>
              </w:rPr>
              <w:t>Guyton and Hall Textbook of Medical Physiology</w:t>
            </w:r>
            <w:r>
              <w:t>, 14th ed.</w:t>
            </w:r>
          </w:p>
        </w:tc>
        <w:tc>
          <w:tcPr>
            <w:tcW w:type="dxa" w:w="2160"/>
            <w:tcBorders>
              <w:top w:val="single" w:sz="4" w:color="000000"/>
              <w:left w:val="single" w:sz="4" w:color="000000"/>
              <w:bottom w:val="single" w:sz="4" w:color="000000"/>
              <w:right w:val="single" w:sz="4" w:color="000000"/>
            </w:tcBorders>
          </w:tcPr>
          <w:p>
            <w:r/>
            <w:r>
              <w:t>Textbook</w:t>
            </w:r>
          </w:p>
        </w:tc>
        <w:tc>
          <w:tcPr>
            <w:tcW w:type="dxa" w:w="2160"/>
            <w:tcBorders>
              <w:top w:val="single" w:sz="4" w:color="000000"/>
              <w:left w:val="single" w:sz="4" w:color="000000"/>
              <w:bottom w:val="single" w:sz="4" w:color="000000"/>
              <w:right w:val="single" w:sz="4" w:color="000000"/>
            </w:tcBorders>
          </w:tcPr>
          <w:p>
            <w:r/>
            <w:r>
              <w:t>Nguồn nền cho cấu trúc nephron, lọc, vận chuyển đoạn ống và điều hòa nước–điện giải.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 xml:space="preserve">Greger R. </w:t>
            </w:r>
            <w:r>
              <w:rPr>
                <w:i/>
              </w:rPr>
              <w:t>Physiology of renal sodium transport</w:t>
            </w:r>
            <w:r>
              <w:t>. PMID: 10653444</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Nền cho vận chuyển natri và nước theo đoạn nephron.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 xml:space="preserve">Knepper MA, Brooks HL. </w:t>
            </w:r>
            <w:r>
              <w:rPr>
                <w:i/>
              </w:rPr>
              <w:t>Regulation of the sodium transporters NHE3, NKCC2 and NCC in the kidney</w:t>
            </w:r>
            <w:r>
              <w:t>. PMID: 11496061</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Xác nhận ba chất vận chuyển theo PCT, TAL và DCT.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 xml:space="preserve">Pearce D, et al. </w:t>
            </w:r>
            <w:r>
              <w:rPr>
                <w:i/>
              </w:rPr>
              <w:t>Regulation of distal tubule sodium transport</w:t>
            </w:r>
            <w:r>
              <w:t>. PMID: 35895103</w:t>
            </w:r>
          </w:p>
        </w:tc>
        <w:tc>
          <w:tcPr>
            <w:tcW w:type="dxa" w:w="2160"/>
            <w:tcBorders>
              <w:top w:val="single" w:sz="4" w:color="000000"/>
              <w:left w:val="single" w:sz="4" w:color="000000"/>
              <w:bottom w:val="single" w:sz="4" w:color="000000"/>
              <w:right w:val="single" w:sz="4" w:color="000000"/>
            </w:tcBorders>
          </w:tcPr>
          <w:p>
            <w:r/>
            <w:r>
              <w:t>Review toàn văn</w:t>
            </w:r>
          </w:p>
        </w:tc>
        <w:tc>
          <w:tcPr>
            <w:tcW w:type="dxa" w:w="2160"/>
            <w:tcBorders>
              <w:top w:val="single" w:sz="4" w:color="000000"/>
              <w:left w:val="single" w:sz="4" w:color="000000"/>
              <w:bottom w:val="single" w:sz="4" w:color="000000"/>
              <w:right w:val="single" w:sz="4" w:color="000000"/>
            </w:tcBorders>
          </w:tcPr>
          <w:p>
            <w:r/>
            <w:r>
              <w:t>Nền cho điều hòa natri–kali ở ống xa/ống góp.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 xml:space="preserve">Skelton LA, et al. </w:t>
            </w:r>
            <w:r>
              <w:rPr>
                <w:i/>
              </w:rPr>
              <w:t>Acid-base transport by the renal proximal tubule</w:t>
            </w:r>
            <w:r>
              <w:t>. PMID: 21170887</w:t>
            </w:r>
          </w:p>
        </w:tc>
        <w:tc>
          <w:tcPr>
            <w:tcW w:type="dxa" w:w="2160"/>
            <w:tcBorders>
              <w:top w:val="single" w:sz="4" w:color="000000"/>
              <w:left w:val="single" w:sz="4" w:color="000000"/>
              <w:bottom w:val="single" w:sz="4" w:color="000000"/>
              <w:right w:val="single" w:sz="4" w:color="000000"/>
            </w:tcBorders>
          </w:tcPr>
          <w:p>
            <w:r/>
            <w:r>
              <w:t>Review toàn văn</w:t>
            </w:r>
          </w:p>
        </w:tc>
        <w:tc>
          <w:tcPr>
            <w:tcW w:type="dxa" w:w="2160"/>
            <w:tcBorders>
              <w:top w:val="single" w:sz="4" w:color="000000"/>
              <w:left w:val="single" w:sz="4" w:color="000000"/>
              <w:bottom w:val="single" w:sz="4" w:color="000000"/>
              <w:right w:val="single" w:sz="4" w:color="000000"/>
            </w:tcBorders>
          </w:tcPr>
          <w:p>
            <w:r/>
            <w:r>
              <w:t>Nền cho tái hấp thu bicarbonate và bài tiết hydrogen tại PCT.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 xml:space="preserve">Burns KD, Li N. </w:t>
            </w:r>
            <w:r>
              <w:rPr>
                <w:i/>
              </w:rPr>
              <w:t>The role of angiotensin II-stimulated renal tubular transport in hypertension</w:t>
            </w:r>
            <w:r>
              <w:t>. PMID: 12642017</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Nền cho angiotensin II và vận chuyển ống thận.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 xml:space="preserve">Wang X, et al. </w:t>
            </w:r>
            <w:r>
              <w:rPr>
                <w:i/>
              </w:rPr>
              <w:t>The regulation of proximal tubular salt transport in hypertension: an update</w:t>
            </w:r>
            <w:r>
              <w:t>. PMID: 19654544</w:t>
            </w:r>
          </w:p>
        </w:tc>
        <w:tc>
          <w:tcPr>
            <w:tcW w:type="dxa" w:w="2160"/>
            <w:tcBorders>
              <w:top w:val="single" w:sz="4" w:color="000000"/>
              <w:left w:val="single" w:sz="4" w:color="000000"/>
              <w:bottom w:val="single" w:sz="4" w:color="000000"/>
              <w:right w:val="single" w:sz="4" w:color="000000"/>
            </w:tcBorders>
          </w:tcPr>
          <w:p>
            <w:r/>
            <w:r>
              <w:t>Review toàn văn</w:t>
            </w:r>
          </w:p>
        </w:tc>
        <w:tc>
          <w:tcPr>
            <w:tcW w:type="dxa" w:w="2160"/>
            <w:tcBorders>
              <w:top w:val="single" w:sz="4" w:color="000000"/>
              <w:left w:val="single" w:sz="4" w:color="000000"/>
              <w:bottom w:val="single" w:sz="4" w:color="000000"/>
              <w:right w:val="single" w:sz="4" w:color="000000"/>
            </w:tcBorders>
          </w:tcPr>
          <w:p>
            <w:r/>
            <w:r>
              <w:t>Bổ sung cho điều hòa vận chuyển muối tại PCT.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 xml:space="preserve">Féraille E, Doucet A. </w:t>
            </w:r>
            <w:r>
              <w:rPr>
                <w:i/>
              </w:rPr>
              <w:t>Sodium-potassium-adenosinetriphosphatase-dependent sodium transport in the kidney: hormonal control</w:t>
            </w:r>
            <w:r>
              <w:t>. PMID: 11152761</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Bổ sung cho Na+/K+-ATPase và điều hòa hormone.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t xml:space="preserve">Boron WF. </w:t>
            </w:r>
            <w:r>
              <w:rPr>
                <w:i/>
              </w:rPr>
              <w:t>Acid-base transport by the renal proximal tubule</w:t>
            </w:r>
            <w:r>
              <w:t>. PMID: 16914536</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Bổ sung cho acid–base PCT.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t xml:space="preserve">Ellison DH. </w:t>
            </w:r>
            <w:r>
              <w:rPr>
                <w:i/>
              </w:rPr>
              <w:t>Clinical Pharmacology in Diuretic Use</w:t>
            </w:r>
            <w:r>
              <w:t>. PMID: 30936153. PMCID: PMC6682831</w:t>
            </w:r>
          </w:p>
        </w:tc>
        <w:tc>
          <w:tcPr>
            <w:tcW w:type="dxa" w:w="2160"/>
            <w:tcBorders>
              <w:top w:val="single" w:sz="4" w:color="000000"/>
              <w:left w:val="single" w:sz="4" w:color="000000"/>
              <w:bottom w:val="single" w:sz="4" w:color="000000"/>
              <w:right w:val="single" w:sz="4" w:color="000000"/>
            </w:tcBorders>
          </w:tcPr>
          <w:p>
            <w:r/>
            <w:r>
              <w:t>Review toàn văn</w:t>
            </w:r>
          </w:p>
        </w:tc>
        <w:tc>
          <w:tcPr>
            <w:tcW w:type="dxa" w:w="2160"/>
            <w:tcBorders>
              <w:top w:val="single" w:sz="4" w:color="000000"/>
              <w:left w:val="single" w:sz="4" w:color="000000"/>
              <w:bottom w:val="single" w:sz="4" w:color="000000"/>
              <w:right w:val="single" w:sz="4" w:color="000000"/>
            </w:tcBorders>
          </w:tcPr>
          <w:p>
            <w:r/>
            <w:r>
              <w:t>Bản đồ tái hấp thu natri theo đoạn và mục tiêu vận chuyển được đọc trực tiếp trên PMC.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w:t>
            </w:r>
          </w:p>
        </w:tc>
        <w:tc>
          <w:tcPr>
            <w:tcW w:type="dxa" w:w="2160"/>
            <w:tcBorders>
              <w:top w:val="single" w:sz="4" w:color="000000"/>
              <w:left w:val="single" w:sz="4" w:color="000000"/>
              <w:bottom w:val="single" w:sz="4" w:color="000000"/>
              <w:right w:val="single" w:sz="4" w:color="000000"/>
            </w:tcBorders>
          </w:tcPr>
          <w:p>
            <w:r/>
            <w:r>
              <w:t>KDIGO 2024 CKD Guideline. PMID: 38490803</w:t>
            </w:r>
          </w:p>
        </w:tc>
        <w:tc>
          <w:tcPr>
            <w:tcW w:type="dxa" w:w="2160"/>
            <w:tcBorders>
              <w:top w:val="single" w:sz="4" w:color="000000"/>
              <w:left w:val="single" w:sz="4" w:color="000000"/>
              <w:bottom w:val="single" w:sz="4" w:color="000000"/>
              <w:right w:val="single" w:sz="4" w:color="000000"/>
            </w:tcBorders>
          </w:tcPr>
          <w:p>
            <w:r/>
            <w:r>
              <w:t>Guideline chính thức</w:t>
            </w:r>
          </w:p>
        </w:tc>
        <w:tc>
          <w:tcPr>
            <w:tcW w:type="dxa" w:w="2160"/>
            <w:tcBorders>
              <w:top w:val="single" w:sz="4" w:color="000000"/>
              <w:left w:val="single" w:sz="4" w:color="000000"/>
              <w:bottom w:val="single" w:sz="4" w:color="000000"/>
              <w:right w:val="single" w:sz="4" w:color="000000"/>
            </w:tcBorders>
          </w:tcPr>
          <w:p>
            <w:r/>
            <w:r>
              <w:t>Khung diễn giải eGFR, albumin niệu, theo dõi và an toàn CKD; đã đọc PDF chính thức.</w:t>
            </w:r>
          </w:p>
        </w:tc>
      </w:tr>
    </w:tbl>
    <w:p>
      <w:r>
        <w:rPr>
          <w:b/>
        </w:rPr>
        <w:t>Đã loại:</w:t>
      </w:r>
      <w:r>
        <w:t xml:space="preserve"> Không dùng paper điều trị bệnh cụ thể để suy diễn sinh lý. Bài này không dùng số liệu thử nghiệm hay protocol thuốc.</w:t>
      </w:r>
    </w:p>
    <w:p/>
    <w:p>
      <w:pPr>
        <w:pStyle w:val="Heading1"/>
      </w:pPr>
      <w:r>
        <w:t>2. Claims đã kiểm chứng và giới hạn số liệu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Claim được phép dùng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Nguồn / tag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t>Một nephron gồm cầu thận, ống lượn gần, quai Henle, ống lượn xa và ống góp; lọc là bước đầu, các đoạn ống điều chỉnh dịch lọc sau đó.</w:t>
            </w:r>
          </w:p>
        </w:tc>
        <w:tc>
          <w:tcPr>
            <w:tcW w:type="dxa" w:w="2880"/>
            <w:tcBorders>
              <w:top w:val="single" w:sz="4" w:color="000000"/>
              <w:left w:val="single" w:sz="4" w:color="000000"/>
              <w:bottom w:val="single" w:sz="4" w:color="000000"/>
              <w:right w:val="single" w:sz="4" w:color="000000"/>
            </w:tcBorders>
          </w:tcPr>
          <w:p>
            <w:r/>
            <w:r>
              <w:t>[TEXTBOOK: Guyton and Hall 14e]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t>PCT tái hấp thu phần lớn natri và nước lọc, đồng thời tái hấp thu bicarbonate; NHE3, SGLT2 và Na+/K+-ATPase là các cơ chế liên quan.</w:t>
            </w:r>
          </w:p>
        </w:tc>
        <w:tc>
          <w:tcPr>
            <w:tcW w:type="dxa" w:w="2880"/>
            <w:tcBorders>
              <w:top w:val="single" w:sz="4" w:color="000000"/>
              <w:left w:val="single" w:sz="4" w:color="000000"/>
              <w:bottom w:val="single" w:sz="4" w:color="000000"/>
              <w:right w:val="single" w:sz="4" w:color="000000"/>
            </w:tcBorders>
          </w:tcPr>
          <w:p>
            <w:r/>
            <w:r>
              <w:t>Guyton 14e; Greger 2000 [ABSTRACT VERIFIED]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t>TAL tái hấp thu NaCl qua NKCC2, còn DCT tái hấp thu NaCl qua NCC; hai chất vận chuyển này là mục tiêu của lợi tiểu quai và thiazide.</w:t>
            </w:r>
          </w:p>
        </w:tc>
        <w:tc>
          <w:tcPr>
            <w:tcW w:type="dxa" w:w="2880"/>
            <w:tcBorders>
              <w:top w:val="single" w:sz="4" w:color="000000"/>
              <w:left w:val="single" w:sz="4" w:color="000000"/>
              <w:bottom w:val="single" w:sz="4" w:color="000000"/>
              <w:right w:val="single" w:sz="4" w:color="000000"/>
            </w:tcBorders>
          </w:tcPr>
          <w:p>
            <w:r/>
            <w:r>
              <w:t>Knepper 2001 [ABSTRACT VERIFIED]; Ellison 2019 [ABSTRACT VERIFIED]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880"/>
            <w:tcBorders>
              <w:top w:val="single" w:sz="4" w:color="000000"/>
              <w:left w:val="single" w:sz="4" w:color="000000"/>
              <w:bottom w:val="single" w:sz="4" w:color="000000"/>
              <w:right w:val="single" w:sz="4" w:color="000000"/>
            </w:tcBorders>
          </w:tcPr>
          <w:p>
            <w:r/>
            <w:r>
              <w:t>Điều hòa distal tubule sodium transport liên quan NCC, ENaC, MR và cân bằng Na+/K+.</w:t>
            </w:r>
          </w:p>
        </w:tc>
        <w:tc>
          <w:tcPr>
            <w:tcW w:type="dxa" w:w="2880"/>
            <w:tcBorders>
              <w:top w:val="single" w:sz="4" w:color="000000"/>
              <w:left w:val="single" w:sz="4" w:color="000000"/>
              <w:bottom w:val="single" w:sz="4" w:color="000000"/>
              <w:right w:val="single" w:sz="4" w:color="000000"/>
            </w:tcBorders>
          </w:tcPr>
          <w:p>
            <w:r/>
            <w:r>
              <w:t>Pearce 2022 [PMC VERIFIED]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880"/>
            <w:tcBorders>
              <w:top w:val="single" w:sz="4" w:color="000000"/>
              <w:left w:val="single" w:sz="4" w:color="000000"/>
              <w:bottom w:val="single" w:sz="4" w:color="000000"/>
              <w:right w:val="single" w:sz="4" w:color="000000"/>
            </w:tcBorders>
          </w:tcPr>
          <w:p>
            <w:r/>
            <w:r>
              <w:t>Acid-base transport by the renal proximal tubule gắn bài tiết H+ với tái hấp thu bicarbonate.</w:t>
            </w:r>
          </w:p>
        </w:tc>
        <w:tc>
          <w:tcPr>
            <w:tcW w:type="dxa" w:w="2880"/>
            <w:tcBorders>
              <w:top w:val="single" w:sz="4" w:color="000000"/>
              <w:left w:val="single" w:sz="4" w:color="000000"/>
              <w:bottom w:val="single" w:sz="4" w:color="000000"/>
              <w:right w:val="single" w:sz="4" w:color="000000"/>
            </w:tcBorders>
          </w:tcPr>
          <w:p>
            <w:r/>
            <w:r>
              <w:t>Skelton 2010 [PMC VERIFIED]; Boron 2006 [FETCHED]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880"/>
            <w:tcBorders>
              <w:top w:val="single" w:sz="4" w:color="000000"/>
              <w:left w:val="single" w:sz="4" w:color="000000"/>
              <w:bottom w:val="single" w:sz="4" w:color="000000"/>
              <w:right w:val="single" w:sz="4" w:color="000000"/>
            </w:tcBorders>
          </w:tcPr>
          <w:p>
            <w:r/>
            <w:r>
              <w:t>Angiotensin II-stimulated renal tubular transport làm tăng tái hấp thu natri ở nhiều đoạn ống thận qua AT1.</w:t>
            </w:r>
          </w:p>
        </w:tc>
        <w:tc>
          <w:tcPr>
            <w:tcW w:type="dxa" w:w="2880"/>
            <w:tcBorders>
              <w:top w:val="single" w:sz="4" w:color="000000"/>
              <w:left w:val="single" w:sz="4" w:color="000000"/>
              <w:bottom w:val="single" w:sz="4" w:color="000000"/>
              <w:right w:val="single" w:sz="4" w:color="000000"/>
            </w:tcBorders>
          </w:tcPr>
          <w:p>
            <w:r/>
            <w:r>
              <w:t>Burns 2003 [ABSTRACT VERIFIED]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880"/>
            <w:tcBorders>
              <w:top w:val="single" w:sz="4" w:color="000000"/>
              <w:left w:val="single" w:sz="4" w:color="000000"/>
              <w:bottom w:val="single" w:sz="4" w:color="000000"/>
              <w:right w:val="single" w:sz="4" w:color="000000"/>
            </w:tcBorders>
          </w:tcPr>
          <w:p>
            <w:r/>
            <w:r>
              <w:t>eGFR và albumin niệu cần được diễn giải cùng bối cảnh lâm sàng; bất thường nhanh, quá tải dịch nặng hoặc rối loạn điện giải cần đánh giá khẩn/chuyên khoa thay vì tự diễn giải ngoại trú.</w:t>
            </w:r>
          </w:p>
        </w:tc>
        <w:tc>
          <w:tcPr>
            <w:tcW w:type="dxa" w:w="2880"/>
            <w:tcBorders>
              <w:top w:val="single" w:sz="4" w:color="000000"/>
              <w:left w:val="single" w:sz="4" w:color="000000"/>
              <w:bottom w:val="single" w:sz="4" w:color="000000"/>
              <w:right w:val="single" w:sz="4" w:color="000000"/>
            </w:tcBorders>
          </w:tcPr>
          <w:p>
            <w:r/>
            <w:r>
              <w:t>KDIGO 2024 [GUIDELINE VERIFIED]</w:t>
            </w:r>
          </w:p>
        </w:tc>
      </w:tr>
    </w:tbl>
    <w:p>
      <w:pPr>
        <w:pStyle w:val="Heading2"/>
      </w:pPr>
      <w:r>
        <w:t>Số liệu CẤM dùng</w:t>
      </w:r>
    </w:p>
    <w:p>
      <w:pPr>
        <w:pStyle w:val="ListBullet"/>
      </w:pPr>
      <w:r>
        <w:t>Không dùng số GFR, áp lực lọc, kích thước lỗ lọc, osmolality nước tiểu, tỷ lệ tái hấp thu hay số nephron nếu không có trong nguồn nền đã nêu và không cần cho quyết định học tập.</w:t>
      </w:r>
    </w:p>
    <w:p>
      <w:pPr>
        <w:pStyle w:val="ListBullet"/>
      </w:pPr>
      <w:r>
        <w:t>Không trình bày liều, chỉ định bệnh-specific hoặc protocol lợi tiểu trong bài này.</w:t>
      </w:r>
    </w:p>
    <w:p>
      <w:pPr>
        <w:pStyle w:val="ListBullet"/>
      </w:pPr>
      <w:r>
        <w:t>Không biến số minh họa trong case thành “ngưỡng chẩn đoán” hoặc chỉ định điều trị.</w:t>
      </w:r>
    </w:p>
    <w:p/>
    <w:p>
      <w:pPr>
        <w:pStyle w:val="Heading1"/>
      </w:pPr>
      <w:r>
        <w:t>3. Kiến thức nền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Nội dung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Hàng rào lọc cầu thận gồm nội mô có cửa sổ, màng đáy và khe lọc podocyte; protein/hồng cầu bất thường trong nước tiểu gợi tổn thương hàng rào hoặc đường niệu tùy bối cảnh.</w:t>
            </w:r>
          </w:p>
        </w:tc>
        <w:tc>
          <w:tcPr>
            <w:tcW w:type="dxa" w:w="4320"/>
            <w:tcBorders>
              <w:top w:val="single" w:sz="4" w:color="000000"/>
              <w:left w:val="single" w:sz="4" w:color="000000"/>
              <w:bottom w:val="single" w:sz="4" w:color="000000"/>
              <w:right w:val="single" w:sz="4" w:color="000000"/>
            </w:tcBorders>
          </w:tcPr>
          <w:p>
            <w:r/>
            <w:r>
              <w:t>[TEXTBOOK: Guyton and Hall 14e]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Gradient tủy được tạo bởi vận chuyển NaCl không kèm nước ở TAL và được bảo tồn nhờ trao đổi ngược dòng ở vasa recta.</w:t>
            </w:r>
          </w:p>
        </w:tc>
        <w:tc>
          <w:tcPr>
            <w:tcW w:type="dxa" w:w="4320"/>
            <w:tcBorders>
              <w:top w:val="single" w:sz="4" w:color="000000"/>
              <w:left w:val="single" w:sz="4" w:color="000000"/>
              <w:bottom w:val="single" w:sz="4" w:color="000000"/>
              <w:right w:val="single" w:sz="4" w:color="000000"/>
            </w:tcBorders>
          </w:tcPr>
          <w:p>
            <w:r/>
            <w:r>
              <w:t>[TEXTBOOK: Guyton and Hall 14e]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chính ống góp điều chỉnh Na+/K+; tế bào kẽ tham gia điều hòa H+/HCO3−.</w:t>
            </w:r>
          </w:p>
        </w:tc>
        <w:tc>
          <w:tcPr>
            <w:tcW w:type="dxa" w:w="4320"/>
            <w:tcBorders>
              <w:top w:val="single" w:sz="4" w:color="000000"/>
              <w:left w:val="single" w:sz="4" w:color="000000"/>
              <w:bottom w:val="single" w:sz="4" w:color="000000"/>
              <w:right w:val="single" w:sz="4" w:color="000000"/>
            </w:tcBorders>
          </w:tcPr>
          <w:p>
            <w:r/>
            <w:r>
              <w:t>[TEXTBOOK: Guyton and Hall 14e]</w:t>
            </w:r>
          </w:p>
        </w:tc>
      </w:tr>
    </w:tbl>
    <w:p/>
    <w:p>
      <w:pPr>
        <w:pStyle w:val="Heading1"/>
      </w:pPr>
      <w:r>
        <w:t>4. Dàn ý thực thi</w:t>
      </w:r>
    </w:p>
    <w:p>
      <w:pPr>
        <w:pStyle w:val="Heading2"/>
      </w:pPr>
      <w:r>
        <w:t>0. Tổng quan và nền tối thiểu</w:t>
      </w:r>
    </w:p>
    <w:p>
      <w:pPr>
        <w:pStyle w:val="ListBullet"/>
      </w:pPr>
      <w:r>
        <w:t>Giải thích nephron, lọc, tái hấp thu và bài tiết; nêu đường học sang bài thuốc lợi tiểu.</w:t>
      </w:r>
    </w:p>
    <w:p>
      <w:pPr>
        <w:pStyle w:val="Heading2"/>
      </w:pPr>
      <w:r>
        <w:t>1. Bản đồ nephron</w:t>
      </w:r>
    </w:p>
    <w:p>
      <w:pPr>
        <w:pStyle w:val="ListBullet"/>
      </w:pPr>
      <w:r>
        <w:t>Một flowchart từ máu đến nước tiểu; đoạn nào làm việc chính với nước, NaCl, K+, acid-base và Ca2+/Mg2+.</w:t>
      </w:r>
    </w:p>
    <w:p>
      <w:pPr>
        <w:pStyle w:val="Heading2"/>
      </w:pPr>
      <w:r>
        <w:t>2. Cầu thận và PCT</w:t>
      </w:r>
    </w:p>
    <w:p>
      <w:pPr>
        <w:pStyle w:val="ListBullet"/>
      </w:pPr>
      <w:r>
        <w:t>Hàng rào lọc, lực lọc ở mức khái niệm, tự điều hòa; PCT, Na+/H+, bicarbonate, glucose và cân bằng cầu–ống.</w:t>
      </w:r>
    </w:p>
    <w:p>
      <w:pPr>
        <w:pStyle w:val="Heading2"/>
      </w:pPr>
      <w:r>
        <w:t>3. Quai Henle và tủy thận</w:t>
      </w:r>
    </w:p>
    <w:p>
      <w:pPr>
        <w:pStyle w:val="ListBullet"/>
      </w:pPr>
      <w:r>
        <w:t>Nhánh xuống, TAL, NKCC2, ROMK, gradient tủy và vasa recta.</w:t>
      </w:r>
    </w:p>
    <w:p>
      <w:pPr>
        <w:pStyle w:val="Heading2"/>
      </w:pPr>
      <w:r>
        <w:t>4. DCT, ống góp và hormone</w:t>
      </w:r>
    </w:p>
    <w:p>
      <w:pPr>
        <w:pStyle w:val="ListBullet"/>
      </w:pPr>
      <w:r>
        <w:t>NCC, ENaC, aldosterone, ADH/AQP2, tế bào kẽ và acid-base.</w:t>
      </w:r>
    </w:p>
    <w:p>
      <w:pPr>
        <w:pStyle w:val="Heading2"/>
      </w:pPr>
      <w:r>
        <w:t>5. Tích hợp và diễn giải lâm sàng</w:t>
      </w:r>
    </w:p>
    <w:p>
      <w:pPr>
        <w:pStyle w:val="ListBullet"/>
      </w:pPr>
      <w:r>
        <w:t>Nước tiểu cô đặc/pha loãng; kali và acid-base; đọc có cấu trúc thể tích, nước tiểu, creatinine/eGFR; nêu red flags.</w:t>
      </w:r>
    </w:p>
    <w:p>
      <w:pPr>
        <w:pStyle w:val="Heading2"/>
      </w:pPr>
      <w:r>
        <w:t>6. Flowchart, cases, tips, tổng kết</w:t>
      </w:r>
    </w:p>
    <w:p>
      <w:pPr>
        <w:pStyle w:val="ListBullet"/>
      </w:pPr>
      <w:r>
        <w:t>Flowchart theo logic: red flags → thể tích/tưới máu → nước tiểu/labs → hành động và Plan A/Plan B. Có ít nhất hai case 5 bước; case không kê đơn thuốc.</w:t>
      </w:r>
    </w:p>
    <w:p/>
    <w:p>
      <w:pPr>
        <w:pStyle w:val="Heading1"/>
      </w:pPr>
      <w:r>
        <w:t>5. Hướng dẫn execute</w:t>
      </w:r>
    </w:p>
    <w:p>
      <w:pPr>
        <w:pStyle w:val="ListNumber"/>
      </w:pPr>
      <w:r>
        <w:t>Chỉ dùng claims và nền trong brief; không thêm số liệu mới.</w:t>
      </w:r>
    </w:p>
    <w:p>
      <w:pPr>
        <w:pStyle w:val="ListNumber"/>
      </w:pPr>
      <w:r>
        <w:t>Thuật ngữ lần đầu luôn giải thích bằng tiếng Việt theo “là gì → bình thường → vì sao quan trọng → nhận ra → làm gì tiếp”.</w:t>
      </w:r>
    </w:p>
    <w:p>
      <w:pPr>
        <w:pStyle w:val="ListNumber"/>
      </w:pPr>
      <w:r>
        <w:t>Bài nephron không thay thế IM-44 CKD hoặc bài thuốc lợi tiểu; liên kết thay vì sao chép thuật toán.</w:t>
      </w:r>
    </w:p>
    <w:p>
      <w:pPr>
        <w:pStyle w:val="ListNumber"/>
      </w:pPr>
      <w:r>
        <w:t>Trích dẫn trong body dùng tên nguồn; chỉ reference list có PMID, có annotation tag.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