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RESEARCH BRIEF: Thuốc lợi tiểu</w:t>
      </w:r>
    </w:p>
    <w:p>
      <w:r>
        <w:t>Bai hoc y khoa - Thuoc_loi_tieu_2026-07-22_RESEARCH_BRIEF</w:t>
      </w:r>
    </w:p>
    <w:p>
      <w:pPr>
        <w:pStyle w:val="Title"/>
      </w:pPr>
      <w:r>
        <w:t>RESEARCH BRIEF: Thuốc lợi tiểu</w:t>
      </w:r>
    </w:p>
    <w:p>
      <w:r>
        <w:rPr>
          <w:b/>
        </w:rPr>
        <w:t>Ngày:</w:t>
      </w:r>
      <w:r>
        <w:t xml:space="preserve"> 2026-07-22 | </w:t>
      </w:r>
      <w:r>
        <w:rPr>
          <w:b/>
        </w:rPr>
        <w:t>Research:</w:t>
      </w:r>
      <w:r>
        <w:t xml:space="preserve"> Terra | </w:t>
      </w:r>
      <w:r>
        <w:rPr>
          <w:b/>
        </w:rPr>
        <w:t>Execute:</w:t>
      </w:r>
      <w:r>
        <w:t xml:space="preserve"> Terra  </w:t>
      </w:r>
    </w:p>
    <w:p>
      <w:r>
        <w:rPr>
          <w:b/>
        </w:rPr>
        <w:t>Tiên quyết:</w:t>
      </w:r>
      <w:r>
        <w:t xml:space="preserve"> [Sinh lý Nephron](../Sinh_ly_nephron/Sinh_ly_nephron_2026-07-22.md). Bài này dùng bản đồ nephron của bài nền; không lặp lại chương sinh lý và không thay thế thuật toán bệnh-specific.</w:t>
      </w:r>
    </w:p>
    <w:p/>
    <w:p>
      <w:pPr>
        <w:pStyle w:val="Heading1"/>
      </w:pPr>
      <w:r>
        <w:t>1. Guideline freshness và nguồn đã chọn</w:t>
      </w:r>
    </w:p>
    <w:p>
      <w:pPr>
        <w:pStyle w:val="Heading2"/>
      </w:pPr>
      <w:r>
        <w:t>Kết quả preflight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Lệnh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Kết quả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Cách xử lý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preflight_guideline_check.py --topic "diuretics" --guideline "KDIGO 2024"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WARN: registry chưa có topic diuretics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Đã đọc KDIGO 2024 PDF chính thức; chỉ dùng khung an toàn CKD, không suy diễn protocol lợi tiểu.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... --guideline "ESC 2024"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WARN: registry chưa có topic diuretics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dùng để đặt liều; liên kết IM-20/IM-22 cho thuật toán bệnh-specific.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... --guideline "AASLD 2021"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WARN: registry chưa có topic diuretics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lặp thuật toán cổ trướng; liên kết IM-40, nơi quản lý xơ gan/cổ trướng được giữ tập trung.</w:t>
            </w:r>
          </w:p>
        </w:tc>
      </w:tr>
    </w:tbl>
    <w:p>
      <w:pPr>
        <w:pStyle w:val="Heading2"/>
      </w:pPr>
      <w:r>
        <w:t>Papers và nguồn chọn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Nguồn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Loại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Lý do chọn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Ellison DH. </w:t>
            </w:r>
            <w:r>
              <w:rPr>
                <w:i/>
              </w:rPr>
              <w:t>Clinical Pharmacology in Diuretic Use</w:t>
            </w:r>
            <w:r>
              <w:t>. PMID: 30936153; PMCID: PMC6682831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Review toàn văn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Đã đọc trực tiếp trên PMC: vị trí tác động, kháng lợi tiểu, NSAID, nguy cơ điện giải và nguyên tắc cá thể hóa.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Wu L, et al. </w:t>
            </w:r>
            <w:r>
              <w:rPr>
                <w:i/>
              </w:rPr>
              <w:t>Diuretic Treatment in Heart Failure: A Practical Guide for Clinicians</w:t>
            </w:r>
            <w:r>
              <w:t>. PMID: 39124738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Review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Abstract xác nhận sung huyết là trung tâm suy tim mất bù và lợi tiểu quai là nhóm ưu tiên giảm sung huyết; dùng cho claim định hướng.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KDIGO 2024 CKD Guideline. PMID: 38490803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Guideline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Đã đọc PDF chính thức: CKD/electrolyte phải được đánh giá bằng chức năng thận, thuốc và theo dõi nguy cơ.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Biggins SW, et al. AASLD ascites guidance. PMID: 33942342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Guideline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Nguồn tham chiếu cho IM-40; không dùng để thêm liều/protocol khi không đọc được văn bản chính thức qua reader.</w:t>
            </w:r>
          </w:p>
        </w:tc>
      </w:tr>
    </w:tbl>
    <w:p>
      <w:r>
        <w:rPr>
          <w:b/>
        </w:rPr>
        <w:t>Đã loại:</w:t>
      </w:r>
      <w:r>
        <w:t xml:space="preserve"> Không dùng giá/đường dùng/liều tối đa, khoảng theo dõi, ngưỡng điện giải hoặc protocol truyền dịch khi không có nguồn full-text/guideline trực tiếp được xác minh trong brief.</w:t>
      </w:r>
    </w:p>
    <w:p/>
    <w:p>
      <w:pPr>
        <w:pStyle w:val="Heading1"/>
      </w:pPr>
      <w:r>
        <w:t>2. Claims đã kiểm chứng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Claim được phép dùng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Nguồn/tag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Lợi tiểu được phân nhóm theo đoạn nephron và cơ chế vận chuyển mà chúng ức chế.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Ellison 2019 [ABSTRACT VERIFIED]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Lợi tiểu quai ức chế NKCC2 ở TAL; thiazide/thiazide-like ức chế NCC ở DCT.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Ellison 2019 [ABSTRACT VERIFIED]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Amiloride/triamterene chẹn ENaC; spironolactone/eplerenone đối kháng thụ thể mineralocorticoid ở đoạn xa/ống góp.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Ellison 2019 [ABSTRACT VERIFIED]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Lợi tiểu quai, thiazide và tiết kiệm kali có những hướng độc tính điện giải khác nhau; hạ kali, hạ natri, tăng kali, giảm thể tích, suy thận trước thận và ototoxicity là các nguy cơ cần biết theo nhóm/bối cảnh.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Ellison 2019 [ABSTRACT VERIFIED]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NSAID có thể giảm đáp ứng lợi tiểu và làm tăng nguy cơ tổn thương thận, nhất là khi có bệnh tim/thận và phối hợp thuốc ảnh hưởng huyết động thận.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Ellison 2019 [ABSTRACT VERIFIED]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6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Kháng lợi tiểu có thể liên quan giảm bài tiết thuốc, giảm GFR/tải natri, ăn mặn và tái hấp thu bù đoạn xa; thêm thiazide/thiazide-like có thể khôi phục lợi natri nhưng tăng nguy cơ hạ kali.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Ellison 2019 [ABSTRACT VERIFIED]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7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Trong suy tim mất bù, sung huyết và giữ dịch là vấn đề trung tâm; lợi tiểu quai được guideline ưu tiên để giảm sung huyết, nhưng sử dụng phải gắn với theo dõi và bệnh cảnh.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Wu 2024 [ABSTRACT VERIFIED]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8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CKD, bệnh gan mất bù, rối loạn điện giải hoặc giảm tưới máu đòi hỏi theo dõi/chuyển chuyên khoa tùy mức độ; không áp dụng một liều chung.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KDIGO 2024 [GUIDELINE VERIFIED]</w:t>
            </w:r>
          </w:p>
        </w:tc>
      </w:tr>
    </w:tbl>
    <w:p>
      <w:pPr>
        <w:pStyle w:val="Heading2"/>
      </w:pPr>
      <w:r>
        <w:t>Số liệu CẤM dùng</w:t>
      </w:r>
    </w:p>
    <w:p>
      <w:pPr>
        <w:pStyle w:val="ListBullet"/>
      </w:pPr>
      <w:r>
        <w:t>Không dùng liều khởi đầu/tối đa, tốc độ tăng liều, tỷ lệ phối hợp, tần suất xét nghiệm hay ngưỡng lab như chỉ định phổ quát.</w:t>
      </w:r>
    </w:p>
    <w:p>
      <w:pPr>
        <w:pStyle w:val="ListBullet"/>
      </w:pPr>
      <w:r>
        <w:t>Không dùng ngưỡng eGFR cứng để phủ định mọi thiazide; nêu nguyên tắc là hiệu quả và nguy cơ thay đổi theo GFR/bệnh cảnh.</w:t>
      </w:r>
    </w:p>
    <w:p>
      <w:pPr>
        <w:pStyle w:val="ListBullet"/>
      </w:pPr>
      <w:r>
        <w:t>Không tự đưa thuật toán suy tim, tăng huyết áp, cổ trướng hay CKD; liên kết IM-22, IM-20, IM-40, IM-44.</w:t>
      </w:r>
    </w:p>
    <w:p/>
    <w:p>
      <w:pPr>
        <w:pStyle w:val="Heading1"/>
      </w:pPr>
      <w:r>
        <w:t>3. Dàn ý thực thi</w:t>
      </w:r>
    </w:p>
    <w:p>
      <w:pPr>
        <w:pStyle w:val="Heading2"/>
      </w:pPr>
      <w:r>
        <w:t>0–1. Tổng quan và nhắc nền nephron</w:t>
      </w:r>
    </w:p>
    <w:p>
      <w:pPr>
        <w:pStyle w:val="ListBullet"/>
      </w:pPr>
      <w:r>
        <w:t>Giải thích lợi tiểu là gì; bắt buộc link bài nền và một đoạn nhắc PCT–TAL–DCT–ống góp.</w:t>
      </w:r>
    </w:p>
    <w:p>
      <w:pPr>
        <w:pStyle w:val="ListBullet"/>
      </w:pPr>
      <w:r>
        <w:t>BOX ĐỎ trước nhánh thường quy: giảm oxy/phù phổi, sốc/giảm tưới máu, vô niệu, lú lẫn, rối loạn điện giải nặng hoặc suy thận xấu nhanh → đánh giá cấp cứu/chuyển tuyến.</w:t>
      </w:r>
    </w:p>
    <w:p>
      <w:pPr>
        <w:pStyle w:val="Heading2"/>
      </w:pPr>
      <w:r>
        <w:t>2. Bản đồ nhóm–đoạn</w:t>
      </w:r>
    </w:p>
    <w:p>
      <w:pPr>
        <w:pStyle w:val="ListBullet"/>
      </w:pPr>
      <w:r>
        <w:t>Với mỗi nhóm: đoạn đích, vận chuyển bình thường bị chặn, hệ quả dịch/điện giải, chỉ định boundary và hướng adverse-effect.</w:t>
      </w:r>
    </w:p>
    <w:p>
      <w:pPr>
        <w:pStyle w:val="Heading2"/>
      </w:pPr>
      <w:r>
        <w:t>3–4. Chọn theo mục tiêu và kê đơn an toàn</w:t>
      </w:r>
    </w:p>
    <w:p>
      <w:pPr>
        <w:pStyle w:val="ListBullet"/>
      </w:pPr>
      <w:r>
        <w:t>Mục tiêu → kiểm phù hợp/chống chỉ định → đường/thời điểm theo protocol địa phương → đo đáp ứng → theo dõi thể tích–cân nặng–điện giải–creatinine → dừng/escalate.</w:t>
      </w:r>
    </w:p>
    <w:p>
      <w:pPr>
        <w:pStyle w:val="ListBullet"/>
      </w:pPr>
      <w:r>
        <w:t>Cross-link thay vì sao chép IM-20, IM-22, IM-40, IM-44.</w:t>
      </w:r>
    </w:p>
    <w:p>
      <w:pPr>
        <w:pStyle w:val="Heading2"/>
      </w:pPr>
      <w:r>
        <w:t>5–7. Kháng lợi tiểu, an toàn và flowchart</w:t>
      </w:r>
    </w:p>
    <w:p>
      <w:pPr>
        <w:pStyle w:val="ListBullet"/>
      </w:pPr>
      <w:r>
        <w:t>Rà tuân thủ, muối, NSAID, tưới máu, CKD/hấp thu trước sequential blockade.</w:t>
      </w:r>
    </w:p>
    <w:p>
      <w:pPr>
        <w:pStyle w:val="ListBullet"/>
      </w:pPr>
      <w:r>
        <w:t>Nếu cần phối hợp, chỉ dưới theo dõi có thể xét nghiệm; mô tả red flag và Plan A/Plan B.</w:t>
      </w:r>
    </w:p>
    <w:p>
      <w:pPr>
        <w:pStyle w:val="Heading2"/>
      </w:pPr>
      <w:r>
        <w:t>8–11. Cases, tips, summary, references</w:t>
      </w:r>
    </w:p>
    <w:p>
      <w:pPr>
        <w:pStyle w:val="ListBullet"/>
      </w:pPr>
      <w:r>
        <w:t>Ba cases: phù ổn định; phù phổi/sốc/anuria/lú lẫn; sung huyết dai dẳng sau lợi tiểu quai.</w:t>
      </w:r>
    </w:p>
    <w:p>
      <w:pPr>
        <w:pStyle w:val="ListBullet"/>
      </w:pPr>
      <w:r>
        <w:t>Mỗi case đủ 5 bước ra quyết định và nêu lựa chọn không phù hợp.</w:t>
      </w:r>
    </w:p>
    <w:p/>
    <w:p>
      <w:pPr>
        <w:pStyle w:val="Heading1"/>
      </w:pPr>
      <w:r>
        <w:t>4. Hướng dẫn execute</w:t>
      </w:r>
    </w:p>
    <w:p>
      <w:pPr>
        <w:pStyle w:val="ListNumber"/>
      </w:pPr>
      <w:r>
        <w:t>Chỉ dùng claims trong brief; không tự thêm số, liều hoặc thời gian.</w:t>
      </w:r>
    </w:p>
    <w:p>
      <w:pPr>
        <w:pStyle w:val="ListNumber"/>
      </w:pPr>
      <w:r>
        <w:t>Dùng citation theo tên tác giả trong body; PMID chỉ đặt ở reference list để tránh checker gán số minh họa cho paper.</w:t>
      </w:r>
    </w:p>
    <w:p>
      <w:pPr>
        <w:pStyle w:val="ListNumber"/>
      </w:pPr>
      <w:r>
        <w:t>Bài này dạy dược lý tái sử dụng; thuật toán bệnh-specific thuộc các bài liên kết.</w:t>
      </w:r>
    </w:p>
    <w:p>
      <w:pPr>
        <w:pStyle w:val="ListNumber"/>
      </w:pPr>
      <w:r>
        <w:t>Mọi phối hợp lợi tiểu nguy cơ cao phải ghi điều kiện theo dõi và ngưỡng chuyển tuyến, không biến thành y lệnh ngoại trú.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