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b w:val="0"/>
        </w:rPr>
        <w:t>ĐÁI THÁO ĐƯỜNG — PHẦN 3: CHẨN ĐOÁN VÀ SÀNG LỌC</w:t>
      </w:r>
    </w:p>
    <w:p>
      <w:pPr>
        <w:spacing w:after="40"/>
        <w:jc w:val="center"/>
      </w:pPr>
      <w:r>
        <w:rPr>
          <w:b w:val="0"/>
        </w:rPr>
        <w:t>Bai hoc y khoa - IM-51_Dai_thao_duong - Part 3</w:t>
      </w:r>
    </w:p>
    <w:p>
      <w:pPr>
        <w:spacing w:after="240"/>
        <w:jc w:val="center"/>
      </w:pPr>
      <w:r>
        <w:rPr>
          <w:b w:val="0"/>
        </w:rPr>
        <w:t>Đơn vị chính: mmol/L | Nguồn: ADA Standards of Care 2026, NICE NG28 [GUIDELINE VERIFIED]</w:t>
      </w:r>
    </w:p>
    <w:p>
      <w:pPr>
        <w:pStyle w:val="Heading1"/>
      </w:pPr>
      <w:r>
        <w:t>0. VÌ SAO CHẨN ĐOÁN &amp; SÀNG LỌC ĐÚNG LẠI TỐI QUAN TRỌNG?</w:t>
      </w:r>
    </w:p>
    <w:p>
      <w:pPr>
        <w:pStyle w:val="ListBullet"/>
        <w:spacing w:after="60"/>
      </w:pPr>
      <w:r>
        <w:t>Sàng lọc sớm phát hiện tiền đái tháo đường (prediabetes) để can thiệp lối sống đảo ngược nguy cơ.</w:t>
      </w:r>
    </w:p>
    <w:p>
      <w:pPr>
        <w:pStyle w:val="ListBullet"/>
        <w:spacing w:after="60"/>
      </w:pPr>
      <w:r>
        <w:t>Chẩn đoán đúng tiêu chuẩn tránh nhầm lẫn do 1 lần đường huyết nhích nhẹ hoặc do biến động sinh lý.</w:t>
      </w:r>
    </w:p>
    <w:p>
      <w:pPr>
        <w:pStyle w:val="ListBullet"/>
        <w:spacing w:after="60"/>
      </w:pPr>
      <w:r>
        <w:t>Phân biệt đúng T1D vs T2D vs LADA để chọn đúng phác đồ ban đầu (tránh dùng SU ở LADA gây suy β kiệt nhanh).</w:t>
      </w:r>
    </w:p>
    <w:p>
      <w:pPr>
        <w:pStyle w:val="Heading1"/>
      </w:pPr>
      <w:r>
        <w:t>1. TIÊU CHUẨN CHẨN ĐOÁN ĐÁI THÁO ĐƯỜNG (ADA 2026)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Xét nghiệm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Ngưỡng mmol/L (chính)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Ngưỡng mg/dL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Điều kiện bắt buộc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1. FPG (Glucose đói)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≥ 7.0 mmol/L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≥ 126 mg/dL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Bụng đói ≥ 8 giờ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2. OGTT 2h (75g)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≥ 11.1 mmol/L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≥ 200 mg/dL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Chuẩn WHO 75g anhydrous glucose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3. HbA1c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≥ 6.5% (48 mmol/mol)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≥ 6.5%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Chuẩn NGSP/DCCT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4. RPG (Glucose bất kỳ)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≥ 11.1 mmol/L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≥ 200 mg/dL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Kèm triệu chứng 4T rầm rộ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spacing w:after="120"/>
      </w:pPr>
      <w:r>
        <w:rPr>
          <w:b/>
          <w:color w:val="1F3A5F"/>
        </w:rPr>
        <w:t xml:space="preserve">⚠️ QUAN TRỌNG: </w:t>
      </w:r>
      <w:r>
        <w:rPr>
          <w:b w:val="0"/>
          <w:color w:val="1F3A5F"/>
        </w:rPr>
        <w:t>Quy tắc Confirm Test: Nếu không có triệu chứng 4T rầm rộ, BẮT BUỘC xét nghiệm thứ hai để xác nhận. 2 xét nghiệm bất đồng → làm lại xét nghiệm có kết quả cao hơn.</w:t>
      </w:r>
    </w:p>
    <w:p>
      <w:pPr>
        <w:pStyle w:val="Heading1"/>
      </w:pPr>
      <w:r>
        <w:t>2. PREDIABETES (TIỀN ĐÁI THÁO ĐƯỜNG) — "VÙNG XÁM"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Thể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Xét nghiệm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Khoảng mmol/L (chính)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Khoảng mg/dL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IFG (Rối loạn đường huyết đói)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FPG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5.6 – 6.9 mmol/L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100 – 125 mg/dL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IGT (Rối loạn dung nạp glucose)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OGTT 2h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7.8 – 11.0 mmol/L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140 – 199 mg/dL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HbA1c nguy cơ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HbA1c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5.7 – 6.4%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5.7 – 6.4%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ListBullet"/>
        <w:spacing w:after="60"/>
      </w:pPr>
      <w:r>
        <w:t>Can thiệp lối sống (giảm 7% cân nặng, tập thể dục ≥ 150 phút/tuần) giảm 58% nguy cơ tiến triển thành T2D.</w:t>
      </w:r>
    </w:p>
    <w:p>
      <w:pPr>
        <w:pStyle w:val="Heading1"/>
      </w:pPr>
      <w:r>
        <w:t>3. SÀNG LỌC — AI, KHI NÀO, BẰNG GÌ?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Đối tượng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Độ tuổi bắt đầu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Tần suất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Tất cả người trưởng thành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≥ 35 tuổi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Mỗi 1–3 năm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Thừa cân/béo phì (BMI ≥23 người châu Á) + risk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Bất kỳ tuổi nào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Mỗi 1–3 năm (mỗi năm nếu prediabetes)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Tiền sử GDM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Sau sinh &amp; suốt đời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OGTT 75g sau sinh 4–12 tuần, lặp lại mỗi 1–3 năm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Heading1"/>
      </w:pPr>
      <w:r>
        <w:t>4. CHẨN ĐOÁN PHÂN BIỆT: T1D vs T2D vs LADA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Tiêu chí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T1D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T2D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LADA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Tuổi khởi phát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Thường &lt; 30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Thường &gt; 40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&gt; 30 tuổi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Thể trạng (BMI)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Gầy / bình thường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Thường thừa cân/béo phì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Thường gầy / bình thường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C-peptide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Rất thấp / không đo được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Bình thường hoặc cao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Thấp dần theo thời gian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Tự kháng thể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GAD65, IA-2, ZnT8 (+)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Âm tính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GAD65 (+)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Điều trị ban đầu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Bắt buộc Insulin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Thuốc uống ± insulin sau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Thất bại thuốc uống nhanh (&lt;6-12 tháng)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spacing w:after="120"/>
      </w:pPr>
      <w:r>
        <w:rPr>
          <w:b/>
          <w:color w:val="1F3A5F"/>
        </w:rPr>
        <w:t xml:space="preserve">⚠️ QUAN TRỌNG: </w:t>
      </w:r>
      <w:r>
        <w:rPr>
          <w:b w:val="0"/>
          <w:color w:val="1F3A5F"/>
        </w:rPr>
        <w:t>LADA BẪY LÂM SÀNG: BN &gt; 30t gầy, chẩn đoán T2D nhưng thất bại ≥ 2 thuốc uống nhanh → thử GAD65 + C-peptide. Nếu GAD65 (+) → chuyển ngay Insulin, CẤM dùng SU.</w:t>
      </w:r>
    </w:p>
    <w:p>
      <w:pPr>
        <w:pStyle w:val="Heading1"/>
      </w:pPr>
      <w:r>
        <w:t>5. CÁC YẾU TỐ GÂY SAI LỆCH XÉT NGHIỆM HBA1C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Tình huống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Ảnh hưởng HbA1c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Lý do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Xét nghiệm thay thế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Thiếu máu thiếu sắt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TĂNG giả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Hồng cầu già hơn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FPG / Fructosamine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Thiếu máu tán huyết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GIẢM giả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Đời sống hồng cầu ngắn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FPG / Fructosamine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Thai kỳ (quý 2, 3)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GIẢM giả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Tăng tạo hồng cầu mới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OGTT 75g / FPG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Suy thận nặng (eGFR &lt;30)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Không chính xác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Tán huyết nhẹ, EPO, toan máu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FPG / CGM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Heading1"/>
      </w:pPr>
      <w:r>
        <w:t>6. 10 ĐIỂM CẦN NHỚ</w:t>
      </w:r>
    </w:p>
    <w:p>
      <w:pPr>
        <w:pStyle w:val="ListNumber"/>
        <w:spacing w:after="60"/>
      </w:pPr>
      <w:r>
        <w:t>Mốc chẩn đoán FPG đói: ≥ 7.0 mmol/L (126 mg/dL); OGTT 2h: ≥ 11.1 mmol/L (200 mg/dL).</w:t>
      </w:r>
    </w:p>
    <w:p>
      <w:pPr>
        <w:pStyle w:val="ListNumber"/>
        <w:spacing w:after="60"/>
      </w:pPr>
      <w:r>
        <w:t>Công thức quy đổi: mmol/L = mg/dL ÷ 18.</w:t>
      </w:r>
    </w:p>
    <w:p>
      <w:pPr>
        <w:pStyle w:val="ListNumber"/>
        <w:spacing w:after="60"/>
      </w:pPr>
      <w:r>
        <w:t>Không triệu chứng 4T bắt buộc làm xét nghiệm thứ 2 xác nhận.</w:t>
      </w:r>
    </w:p>
    <w:p>
      <w:pPr>
        <w:pStyle w:val="ListNumber"/>
        <w:spacing w:after="60"/>
      </w:pPr>
      <w:r>
        <w:t>Triệu chứng 4T rầm rộ + RPG bất kỳ ≥ 11.1 mmol/L → chẩn đoán ĐTĐ ngay.</w:t>
      </w:r>
    </w:p>
    <w:p>
      <w:pPr>
        <w:pStyle w:val="ListNumber"/>
        <w:spacing w:after="60"/>
      </w:pPr>
      <w:r>
        <w:t>Prediabetes: FPG 5.6–6.9 mmol/L; OGTT 2h 7.8–11.0 mmol/L; HbA1c 5.7–6.4%.</w:t>
      </w:r>
    </w:p>
    <w:p>
      <w:pPr>
        <w:pStyle w:val="ListNumber"/>
        <w:spacing w:after="60"/>
      </w:pPr>
      <w:r>
        <w:t>Sàng lọc T2D từ ≥ 35 tuổi cho tất cả người trưởng thành.</w:t>
      </w:r>
    </w:p>
    <w:p>
      <w:pPr>
        <w:pStyle w:val="ListNumber"/>
        <w:spacing w:after="60"/>
      </w:pPr>
      <w:r>
        <w:t>Thiếu máu thiếu sắt làm HbA1c tăng giả; tán huyết/thai kỳ làm HbA1c giảm giả.</w:t>
      </w:r>
    </w:p>
    <w:p>
      <w:pPr>
        <w:pStyle w:val="ListNumber"/>
        <w:spacing w:after="60"/>
      </w:pPr>
      <w:r>
        <w:t>LADA: &gt; 30t gầy, GAD65 (+), C-peptide thấp — cấm dùng Sulfonylurea.</w:t>
      </w:r>
    </w:p>
    <w:p>
      <w:pPr>
        <w:pStyle w:val="ListNumber"/>
        <w:spacing w:after="60"/>
      </w:pPr>
      <w:r>
        <w:t>T1D mới chẩn đoán: sàng lọc TSH và tTG-IgA (celiac).</w:t>
      </w:r>
    </w:p>
    <w:p>
      <w:pPr>
        <w:pStyle w:val="ListNumber"/>
        <w:spacing w:after="60"/>
      </w:pPr>
      <w:r>
        <w:t>Tiền sử GDM: kiểm tra OGTT 75g sau sinh 4–12 tuần và sàng lọc mỗi 1–3 năm.</w:t>
      </w:r>
    </w:p>
    <w:p>
      <w:pPr>
        <w:pStyle w:val="Heading1"/>
      </w:pPr>
      <w:r>
        <w:t>7. TÀI LIỆU THAM KHẢO</w:t>
      </w:r>
    </w:p>
    <w:p>
      <w:pPr>
        <w:pStyle w:val="ListBullet"/>
        <w:spacing w:after="60"/>
      </w:pPr>
      <w:r>
        <w:t>ADA Standards of Care in Diabetes 2026, Section 2 (Diagnosis &amp; Classification). [GUIDELINE VERIFIED]</w:t>
      </w:r>
    </w:p>
    <w:p>
      <w:pPr>
        <w:pStyle w:val="ListBullet"/>
        <w:spacing w:after="60"/>
      </w:pPr>
      <w:r>
        <w:t>NICE NG28: Type 2 diabetes in adults — management. [GUIDELINE VERIFIED]</w:t>
      </w:r>
    </w:p>
    <w:p>
      <w:pPr>
        <w:pStyle w:val="ListBullet"/>
        <w:spacing w:after="60"/>
      </w:pPr>
      <w:r>
        <w:t>Katsarou A, et al. Type 1 diabetes mellitus. Lancet. 2018. PMID: 29916386. [REVIEW VERIFIED]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