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b w:val="0"/>
        </w:rPr>
        <w:t>ĐÁI THÁO ĐƯỜNG — PHẦN 5: ĐIỀU TRỊ KHÔNG DÙNG THUỐC</w:t>
      </w:r>
    </w:p>
    <w:p>
      <w:pPr>
        <w:spacing w:after="40"/>
        <w:jc w:val="center"/>
      </w:pPr>
      <w:r>
        <w:rPr>
          <w:b w:val="0"/>
        </w:rPr>
        <w:t>Bai hoc y khoa - IM-51_Dai_thao_duong - Part 5</w:t>
      </w:r>
    </w:p>
    <w:p>
      <w:pPr>
        <w:spacing w:after="240"/>
        <w:jc w:val="center"/>
      </w:pPr>
      <w:r>
        <w:rPr>
          <w:b w:val="0"/>
        </w:rPr>
        <w:t>Nguồn: ADA Standards of Care 2026 (Section 5), DPP Trial, Look AHEAD [GUIDELINE &amp; TRIALS VERIFIED]</w:t>
      </w:r>
    </w:p>
    <w:p>
      <w:pPr>
        <w:pStyle w:val="Heading1"/>
      </w:pPr>
      <w:r>
        <w:t>0. VÌ SAO ĐIỀU TRỊ KHÔNG DÙNG THUỐC LÀ NỀN TẢNG BẮT BUỘC?</w:t>
      </w:r>
    </w:p>
    <w:p>
      <w:pPr>
        <w:pStyle w:val="ListBullet"/>
        <w:spacing w:after="60"/>
      </w:pPr>
      <w:r>
        <w:t>Không có thuốc nào thay thế được lối sống lành mạnh — lối sống thất bại làm mọi phác đồ thuốc nhanh chóng giảm hiệu quả.</w:t>
      </w:r>
    </w:p>
    <w:p>
      <w:pPr>
        <w:pStyle w:val="ListBullet"/>
        <w:spacing w:after="60"/>
      </w:pPr>
      <w:r>
        <w:t>Bằng chứng DPP Trial (PMID 11832527): Can thiệp lối sống tích cực giúp giảm 58% nguy cơ tiến triển thành T2D ở người prediabetes (hiệu quả gấp đôi Metformin giảm 31%).</w:t>
      </w:r>
    </w:p>
    <w:p>
      <w:pPr>
        <w:pStyle w:val="ListBullet"/>
        <w:spacing w:after="60"/>
      </w:pPr>
      <w:r>
        <w:t>Can thiệp lối sống hiệu quả giúp giảm HbA1c từ 1.0 – 2.0%, tương đương hoặc hơn 1 thuốc hạ đường huyết uống.</w:t>
      </w:r>
    </w:p>
    <w:p>
      <w:pPr>
        <w:pStyle w:val="Heading1"/>
      </w:pPr>
      <w:r>
        <w:t>1. LIỆU PHÁP DINH DƯỠNG ĐIỀU TRỊ (MNT)</w:t>
      </w:r>
    </w:p>
    <w:p>
      <w:pPr>
        <w:pStyle w:val="ListBullet"/>
        <w:spacing w:after="60"/>
      </w:pPr>
      <w:r>
        <w:rPr>
          <w:b/>
        </w:rPr>
        <w:t xml:space="preserve">Khống chế năng lượng: </w:t>
      </w:r>
      <w:r>
        <w:rPr>
          <w:b w:val="0"/>
        </w:rPr>
        <w:t>Giảm 500 – 750 kcal/ngày để giảm 5 – 10% cân nặng ở người thừa cân/béo phì.</w:t>
      </w:r>
    </w:p>
    <w:p>
      <w:pPr>
        <w:pStyle w:val="ListBullet"/>
        <w:spacing w:after="60"/>
      </w:pPr>
      <w:r>
        <w:rPr>
          <w:b/>
        </w:rPr>
        <w:t xml:space="preserve">Carbohydrate (45 – 55%): </w:t>
      </w:r>
      <w:r>
        <w:rPr>
          <w:b w:val="0"/>
        </w:rPr>
        <w:t>Ưu tiên Carb phức tạp, chỉ số GI thấp (ngũ cốc nguyên hạt, rau củ). Hạn chế Carb đơn giản, đường tinh luyện. Xơ ≥ 14g/1000kcal.</w:t>
      </w:r>
    </w:p>
    <w:p>
      <w:pPr>
        <w:pStyle w:val="ListBullet"/>
        <w:spacing w:after="60"/>
      </w:pPr>
      <w:r>
        <w:rPr>
          <w:b/>
        </w:rPr>
        <w:t xml:space="preserve">Protein (15 – 20%): </w:t>
      </w:r>
      <w:r>
        <w:rPr>
          <w:b w:val="0"/>
        </w:rPr>
        <w:t>Giữ mức 0.8g/kg/ngày ở người có bệnh thận ĐTĐ (DKD) chưa lọc máu.</w:t>
      </w:r>
    </w:p>
    <w:p>
      <w:pPr>
        <w:pStyle w:val="ListBullet"/>
        <w:spacing w:after="60"/>
      </w:pPr>
      <w:r>
        <w:rPr>
          <w:b/>
        </w:rPr>
        <w:t xml:space="preserve">Fat (20 – 35%): </w:t>
      </w:r>
      <w:r>
        <w:rPr>
          <w:b w:val="0"/>
        </w:rPr>
        <w:t>Ưu tiên béo không bão hòa (dầu olive, cá biển). Béo bão hòa &lt; 7%. Tránh tuyệt đối Trans-fat.</w:t>
      </w:r>
    </w:p>
    <w:p>
      <w:pPr>
        <w:pStyle w:val="Heading2"/>
      </w:pPr>
      <w:r>
        <w:t>Phương pháp "Đĩa thức ăn" (Plate Method)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Phần đĩa (~22cm)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Loại thực phẩm chọn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Ví dụ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1/2 đĩa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Rau củ không chứa tinh bột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Rau cải, súp lơ, dưa chuột, cà chua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1/4 đĩa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Thực phẩm giàu đạm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Thịt nạc, cá, trứng, đậu phụ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1/4 đĩa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Tinh bột hấp thu chậm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Cơm lức, khoai lang, ngô, bún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pStyle w:val="Heading1"/>
      </w:pPr>
      <w:r>
        <w:t>2. CHẾ ĐỘ HOẠT ĐỘNG THỂ LỰC VÀ TẬP LUYỆN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Tiêu chí tập luyện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Khuyến cáo chuẩn ADA 2026</w:t>
            </w:r>
          </w:p>
        </w:tc>
        <w:tc>
          <w:tcPr>
            <w:tcW w:type="dxa" w:w="30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Ghi chú an toàn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Tập Cardio (Aerobic)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≥ 150 phút / tuần (cường độ trung bình)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Đi bộ nhanh, đạp xe, bơi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Phân bổ thời gian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Tập ≥ 3 ngày / tuần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Không nghỉ quá 2 ngày liên tiếp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Tập kháng lực (Resistance)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 – 3 buổi / tuần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Tập nhóm cơ lớn (tạ nhẹ, chống đẩy)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Giảm ngồi lâu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Ngắt quãng thời gian tĩnh tại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Cứ 30 phút nên đứng dậy đi lại 1-2 phút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spacing w:after="120"/>
      </w:pPr>
      <w:r>
        <w:rPr>
          <w:b/>
          <w:color w:val="1F3A5F"/>
        </w:rPr>
        <w:t xml:space="preserve">⚠️ QUAN TRỌNG: </w:t>
      </w:r>
      <w:r>
        <w:rPr>
          <w:b w:val="0"/>
          <w:color w:val="1F3A5F"/>
        </w:rPr>
        <w:t>An toàn tập luyện: Đường huyết trước tập &lt; 5.6 mmol/L (&lt; 100 mg/dL) ở BN dùng Insulin/SU → ăn nhẹ 15-30g Carb. Hoãn tập nặng nếu đường huyết &gt; 13.9 mmol/L (&gt; 250 mg/dL) KÈM Ketone (+). Luôn kiểm tra bàn chân trước và sau tập.</w:t>
      </w:r>
    </w:p>
    <w:p>
      <w:pPr>
        <w:pStyle w:val="Heading1"/>
      </w:pPr>
      <w:r>
        <w:t>3. GIÁO DỤC TỰ QUẢN LÝ VÀ HỖ TRỢ TÂM LÝ (DSMES)</w:t>
      </w:r>
    </w:p>
    <w:p>
      <w:pPr>
        <w:pStyle w:val="ListBullet"/>
        <w:spacing w:after="60"/>
      </w:pPr>
      <w:r>
        <w:t>Bệnh nhân cần được đào tạo kỹ năng: tự đo đường huyết (SMBG), nhận biết hạ đường huyết, tự chăm sóc bàn chân, cách chỉnh liều insulin theo bữa ăn.</w:t>
      </w:r>
    </w:p>
    <w:p>
      <w:pPr>
        <w:pStyle w:val="ListBullet"/>
        <w:spacing w:after="60"/>
      </w:pPr>
      <w:r>
        <w:t>Sàng lọc tâm lý định kỳ để phát hiện Diabetes Distress (kiệt sức do điều trị mạn tính) và trầm cảm.</w:t>
      </w:r>
    </w:p>
    <w:p>
      <w:pPr>
        <w:pStyle w:val="Heading1"/>
      </w:pPr>
      <w:r>
        <w:t>4. NGỪNG THUỐC LÁ VÀ HẠN CHẾ CỒN</w:t>
      </w:r>
    </w:p>
    <w:p>
      <w:pPr>
        <w:pStyle w:val="ListBullet"/>
        <w:spacing w:after="60"/>
      </w:pPr>
      <w:r>
        <w:rPr>
          <w:b/>
        </w:rPr>
        <w:t xml:space="preserve">Ngừng thuốc lá: </w:t>
      </w:r>
      <w:r>
        <w:rPr>
          <w:b w:val="0"/>
        </w:rPr>
        <w:t>Hút thuốc làm tăng đề kháng insulin và tăng gấp đôi nguy cơ biến chứng tim mạch/đoạn chi.</w:t>
      </w:r>
    </w:p>
    <w:p>
      <w:pPr>
        <w:pStyle w:val="ListBullet"/>
        <w:spacing w:after="60"/>
      </w:pPr>
      <w:r>
        <w:rPr>
          <w:b/>
        </w:rPr>
        <w:t xml:space="preserve">Hạn chế cồn: </w:t>
      </w:r>
      <w:r>
        <w:rPr>
          <w:b w:val="0"/>
        </w:rPr>
        <w:t>Nam ≤ 2 đơn vị cồn/ngày, Nữ ≤ 1 đơn vị cồn/ngày. Rượu ức chế gluconeogenesis tại gan → nguy cơ HẠ ĐƯỜNG HUYẾT ĐÊM NGUY HIỂM ở người dùng Insulin/SU.</w:t>
      </w:r>
    </w:p>
    <w:p>
      <w:pPr>
        <w:pStyle w:val="Heading1"/>
      </w:pPr>
      <w:r>
        <w:t>5. 10 ĐIỂM CẦN NHỚ</w:t>
      </w:r>
    </w:p>
    <w:p>
      <w:pPr>
        <w:pStyle w:val="ListNumber"/>
        <w:spacing w:after="60"/>
      </w:pPr>
      <w:r>
        <w:t>Thay đổi lối sống là nền tảng bắt buộc, không thuốc nào thay thế được.</w:t>
      </w:r>
    </w:p>
    <w:p>
      <w:pPr>
        <w:pStyle w:val="ListNumber"/>
        <w:spacing w:after="60"/>
      </w:pPr>
      <w:r>
        <w:t>Can thiệp lối sống giảm 58% nguy cơ tiến triển T2D ở người prediabetes (DPP trial).</w:t>
      </w:r>
    </w:p>
    <w:p>
      <w:pPr>
        <w:pStyle w:val="ListNumber"/>
        <w:spacing w:after="60"/>
      </w:pPr>
      <w:r>
        <w:t>Giảm 5 – 10% cân nặng mang lại cải thiện chuyển hóa rõ rệt nhất.</w:t>
      </w:r>
    </w:p>
    <w:p>
      <w:pPr>
        <w:pStyle w:val="ListNumber"/>
        <w:spacing w:after="60"/>
      </w:pPr>
      <w:r>
        <w:t>Carbohydrate chiếm 45 – 55% năng lượng, ưu tiên Carb phức tạp chỉ số GI thấp.</w:t>
      </w:r>
    </w:p>
    <w:p>
      <w:pPr>
        <w:pStyle w:val="ListNumber"/>
        <w:spacing w:after="60"/>
      </w:pPr>
      <w:r>
        <w:t>Đĩa thức ăn: 1/2 đĩa rau không tinh bột, 1/4 đĩa đạm, 1/4 đĩa tinh bột.</w:t>
      </w:r>
    </w:p>
    <w:p>
      <w:pPr>
        <w:pStyle w:val="ListNumber"/>
        <w:spacing w:after="60"/>
      </w:pPr>
      <w:r>
        <w:t>Tập Aerobic ≥ 150 phút/tuần, không nghỉ quá 2 ngày liên tiếp.</w:t>
      </w:r>
    </w:p>
    <w:p>
      <w:pPr>
        <w:pStyle w:val="ListNumber"/>
        <w:spacing w:after="60"/>
      </w:pPr>
      <w:r>
        <w:t>Tập kháng lực 2 – 3 buổi/tuần giúp tăng khối cơ và tăng nhạy cảm insulin.</w:t>
      </w:r>
    </w:p>
    <w:p>
      <w:pPr>
        <w:pStyle w:val="ListNumber"/>
        <w:spacing w:after="60"/>
      </w:pPr>
      <w:r>
        <w:t>Đường huyết trước tập &lt; 5.6 mmol/L ở người dùng Insulin/SU → cần ăn nhẹ Carb.</w:t>
      </w:r>
    </w:p>
    <w:p>
      <w:pPr>
        <w:pStyle w:val="ListNumber"/>
        <w:spacing w:after="60"/>
      </w:pPr>
      <w:r>
        <w:t>Rượu bia ức chế gan tạo glucose → nguy cơ hạ đường huyết muộn về đêm.</w:t>
      </w:r>
    </w:p>
    <w:p>
      <w:pPr>
        <w:pStyle w:val="ListNumber"/>
        <w:spacing w:after="60"/>
      </w:pPr>
      <w:r>
        <w:t>Luôn kiểm tra bàn chân trước và sau khi tập thể dục để phát hiện trầy xước.</w:t>
      </w:r>
    </w:p>
    <w:p>
      <w:pPr>
        <w:pStyle w:val="Heading1"/>
      </w:pPr>
      <w:r>
        <w:t>6. TÀI LIỆU THAM KHẢO</w:t>
      </w:r>
    </w:p>
    <w:p>
      <w:pPr>
        <w:pStyle w:val="ListBullet"/>
        <w:spacing w:after="60"/>
      </w:pPr>
      <w:r>
        <w:t>ADA Standards of Care in Diabetes 2026, Section 5. [GUIDELINE VERIFIED]</w:t>
      </w:r>
    </w:p>
    <w:p>
      <w:pPr>
        <w:pStyle w:val="ListBullet"/>
        <w:spacing w:after="60"/>
      </w:pPr>
      <w:r>
        <w:t>Knowler WC, et al. DPP Trial. N Engl J Med. 2002. PMID: 11832527. [TRIALS VERIFIED]</w:t>
      </w:r>
    </w:p>
    <w:p>
      <w:pPr>
        <w:pStyle w:val="ListBullet"/>
        <w:spacing w:after="60"/>
      </w:pPr>
      <w:r>
        <w:t>Look AHEAD Research Group. N Engl J Med. 2013. PMID: 23798132. [TRIALS VERIFIED]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