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b w:val="0"/>
        </w:rPr>
        <w:t>ĐÁI THÁO ĐƯỜNG — PHẦN 8: BIẾN CHỨNG CẤP TÍNH (DKA, HHS, HẠ ĐƯỜNG HUYẾT)</w:t>
      </w:r>
    </w:p>
    <w:p>
      <w:pPr>
        <w:spacing w:after="40"/>
        <w:jc w:val="center"/>
      </w:pPr>
      <w:r>
        <w:rPr>
          <w:b w:val="0"/>
        </w:rPr>
        <w:t>Bai hoc y khoa - IM-51_Dai_thao_duong - Part 8</w:t>
      </w:r>
    </w:p>
    <w:p>
      <w:pPr>
        <w:spacing w:after="240"/>
        <w:jc w:val="center"/>
      </w:pPr>
      <w:r>
        <w:rPr>
          <w:b w:val="0"/>
        </w:rPr>
        <w:t>Đơn vị chính: mmol/L | Nguồn: ADA Standards of Care 2026, ADA Consensus (PMID 19564476)</w:t>
      </w:r>
    </w:p>
    <w:p>
      <w:pPr>
        <w:pStyle w:val="Heading1"/>
      </w:pPr>
      <w:r>
        <w:t>0. VÌ SAO BIẾN CHỨNG CẤP TÍNH LÀ TÌNH HUỐNG NGUY HIỂM TÍNH MẠNG?</w:t>
      </w:r>
    </w:p>
    <w:p>
      <w:pPr>
        <w:pStyle w:val="ListBullet"/>
        <w:spacing w:after="60"/>
      </w:pPr>
      <w:r>
        <w:t>DKA (Nhiễm toan Ceton): Thiếu insulin tuyệt đối → cơ thể đốt mỡ tạo ceton → toan máu đe dọa tử vong (thường gặp T1D).</w:t>
      </w:r>
    </w:p>
    <w:p>
      <w:pPr>
        <w:pStyle w:val="ListBullet"/>
        <w:spacing w:after="60"/>
      </w:pPr>
      <w:r>
        <w:t>HHS (Tăng áp lực thẩm thấu): Đường huyết tăng cực cao (&gt; 33.3 mmol/L) → mất nước tế bào dữ dội → hôn mê (thường gặp T2D người già).</w:t>
      </w:r>
    </w:p>
    <w:p>
      <w:pPr>
        <w:pStyle w:val="ListBullet"/>
        <w:spacing w:after="60"/>
      </w:pPr>
      <w:r>
        <w:t>Hạ đường huyết: Thiếu glucose não → hôn mê, co giật, tổn thương não.</w:t>
      </w:r>
    </w:p>
    <w:p>
      <w:pPr>
        <w:spacing w:after="120"/>
      </w:pPr>
      <w:r>
        <w:rPr>
          <w:b/>
          <w:color w:val="1F3A5F"/>
        </w:rPr>
        <w:t xml:space="preserve">⚠️ QUAN TRỌNG: </w:t>
      </w:r>
      <w:r>
        <w:rPr>
          <w:b w:val="0"/>
          <w:color w:val="1F3A5F"/>
        </w:rPr>
        <w:t>CẤP CỨU KHẨN: BN ĐTĐ nôn nhiều, mất nước nặng, thở Kussmaul, hơi thở mùi ceton, lú lẫn/hôn mê → CHUYỂN KHẨN CẤP CỨU / ICU!</w:t>
      </w:r>
    </w:p>
    <w:p>
      <w:pPr>
        <w:pStyle w:val="Heading1"/>
      </w:pPr>
      <w:r>
        <w:t>1. SO SÁNH &amp; TIÊU CHUẨN CHẨN ĐOÁN DKA VS HHS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Tiêu chí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DKA Nhẹ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DKA Trung bình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DKA Nặng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HHS (Tăng ALTT)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Glucose máu (mmol/L)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&gt; 13.9 mmol/L (&gt;250 mg/dL)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&gt; 13.9 mmol/L (&gt;250 mg/dL)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&gt; 13.9 mmol/L (&gt;250 mg/dL)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&gt; 33.3 mmol/L (&gt;600 mg/dL)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pH máu động mạch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7.25 – 7.30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7.00 – 7.24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&lt; 7.00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&gt; 7.30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Bicarbonate (HCO₃⁻)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15 – 18 mmol/L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10 – &lt; 15 mmol/L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&lt; 10 mmol/L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&gt; 18 mmol/L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Ceton niệu / máu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Dương tính (++)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Dương tính (+++)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Dương tính (++++)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Âm tính hoặc vết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ALTT máu hiệu dụng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Biến đổi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Biến đổi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Biến đổi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&gt; 320 mOsm/kg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Anion Gap (AG)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&gt; 10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&gt; 12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&gt; 12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&lt; 12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Ý thức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Tỉnh táo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Tỉnh / Lơ mơ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Lơ mơ / Hôn mê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Lơ mơ / Hôn mê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spacing w:after="120"/>
      </w:pPr>
      <w:r>
        <w:rPr>
          <w:b/>
          <w:color w:val="1F3A5F"/>
        </w:rPr>
        <w:t xml:space="preserve">⚠️ QUAN TRỌNG: </w:t>
      </w:r>
      <w:r>
        <w:rPr>
          <w:b w:val="0"/>
          <w:color w:val="1F3A5F"/>
        </w:rPr>
        <w:t>Euglycemic DKA (do SGLT2i): Toan ceton nhưng đường huyết ≤ 13.9 mmol/L (vẫn bình thường/tăng nhẹ). Cần ngưng ngay SGLT2i và truyền dịch + glucose + insulin.</w:t>
      </w:r>
    </w:p>
    <w:p>
      <w:pPr>
        <w:pStyle w:val="Heading1"/>
      </w:pPr>
      <w:r>
        <w:t>2. NGUYÊN TẮC XỬ TRÍ CẤP CỨU DKA VÀ HHS</w:t>
      </w:r>
    </w:p>
    <w:p>
      <w:pPr>
        <w:pStyle w:val="Heading2"/>
      </w:pPr>
      <w:r>
        <w:t>2.1 Trụ cột 1: Bù dịch</w:t>
      </w:r>
    </w:p>
    <w:p>
      <w:pPr>
        <w:pStyle w:val="ListBullet"/>
        <w:spacing w:after="60"/>
      </w:pPr>
      <w:r>
        <w:t>Giờ thứ nhất: Truyền NaCl 0.9% 1000 – 1500 mL/giờ để khôi phục thể tích tuần hoàn.</w:t>
      </w:r>
    </w:p>
    <w:p>
      <w:pPr>
        <w:pStyle w:val="ListBullet"/>
        <w:spacing w:after="60"/>
      </w:pPr>
      <w:r>
        <w:t>Khi Glucose giảm &lt; 11.1 mmol/L (DKA) hoặc &lt; 13.9 mmol/L (HHS): THÊM GLUCOSE 5% vào dịch truyền.</w:t>
      </w:r>
    </w:p>
    <w:p>
      <w:pPr>
        <w:pStyle w:val="Heading2"/>
      </w:pPr>
      <w:r>
        <w:t>2.2 Trụ cột 2: Bù Kali (Potassium) — AN TOÀN TUYỆT ĐỐI</w:t>
      </w:r>
    </w:p>
    <w:p>
      <w:pPr>
        <w:spacing w:after="120"/>
      </w:pPr>
      <w:r>
        <w:rPr>
          <w:b/>
          <w:color w:val="1F3A5F"/>
        </w:rPr>
        <w:t xml:space="preserve">⚠️ QUAN TRỌNG: </w:t>
      </w:r>
      <w:r>
        <w:rPr>
          <w:b w:val="0"/>
          <w:color w:val="1F3A5F"/>
        </w:rPr>
        <w:t>Nếu K⁺ &lt; 3.3 mmol/L: TUYỆT ĐỐI HOÃN TRUYỀN INSULIN! Truyền KCl 20-30 mEq/h đến khi K⁺ &gt; 3.3 mmol/L rồi mới truyền Insulin.</w:t>
      </w:r>
    </w:p>
    <w:p>
      <w:pPr>
        <w:pStyle w:val="ListBullet"/>
        <w:spacing w:after="60"/>
      </w:pPr>
      <w:r>
        <w:t>Nếu K⁺ 3.3 – 5.2 mmol/L: Bù 20-30 mEq KCl vào mỗi lít dịch truyền.</w:t>
      </w:r>
    </w:p>
    <w:p>
      <w:pPr>
        <w:pStyle w:val="ListBullet"/>
        <w:spacing w:after="60"/>
      </w:pPr>
      <w:r>
        <w:t>Nếu K⁺ &gt; 5.2 mmol/L: Tạm không bù K⁺, kiểm tra K⁺ mỗi 2h.</w:t>
      </w:r>
    </w:p>
    <w:p>
      <w:pPr>
        <w:pStyle w:val="Heading2"/>
      </w:pPr>
      <w:r>
        <w:t>2.3 Trụ cột 3: Truyền Insulin tĩnh mạch</w:t>
      </w:r>
    </w:p>
    <w:p>
      <w:pPr>
        <w:pStyle w:val="ListBullet"/>
        <w:spacing w:after="60"/>
      </w:pPr>
      <w:r>
        <w:t>Regular Insulin 0.1 U/kg/h truyền IV liên tục qua bơm tiêm điện.</w:t>
      </w:r>
    </w:p>
    <w:p>
      <w:pPr>
        <w:pStyle w:val="ListBullet"/>
        <w:spacing w:after="60"/>
      </w:pPr>
      <w:r>
        <w:t>Mục tiêu giảm Glucose: 3.0 – 4.0 mmol/L/giờ (50 – 75 mg/dL/h).</w:t>
      </w:r>
    </w:p>
    <w:p>
      <w:pPr>
        <w:pStyle w:val="ListBullet"/>
        <w:spacing w:after="60"/>
      </w:pPr>
      <w:r>
        <w:t>Chỉ dùng Sodium Bicarbonate khi pH máu động mạch &lt; 6.90.</w:t>
      </w:r>
    </w:p>
    <w:p>
      <w:pPr>
        <w:pStyle w:val="Heading1"/>
      </w:pPr>
      <w:r>
        <w:t>3. HẠ ĐƯỜNG HUYẾT (HYPOGLYCEMIA)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Mức độ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Ngưỡng mmol/L (chính)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Ngưỡng mg/dL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Đặc điểm lâm sàng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Level 1 (Cảnh báo)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&lt; 3.9 mmol/L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&lt; 70 mg/dL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Vã mồ hôi, run tay, hồi hộp, đói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Level 2 (Nặng/Lâm sàng)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&lt; 3.0 mmol/L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&lt; 54 mg/dL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Lú lẫn, nói khó, nhìn đôi, nhức đầu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Level 3 (Rất nặng)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Không phụ thuộc con số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Không phụ thuộc con số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Co giật, hôn mê, CẦN NGƯỜI KHÁC TRỢ GIÚP</w:t>
            </w:r>
          </w:p>
        </w:tc>
      </w:tr>
    </w:tbl>
    <w:p>
      <w:pPr>
        <w:spacing w:after="80"/>
      </w:pPr>
      <w:r>
        <w:rPr>
          <w:b w:val="0"/>
        </w:rPr>
      </w:r>
    </w:p>
    <w:p>
      <w:pPr>
        <w:pStyle w:val="Heading2"/>
      </w:pPr>
      <w:r>
        <w:t>Quy tắc 15/15 (Level 1 &amp; 2)</w:t>
      </w:r>
    </w:p>
    <w:p>
      <w:pPr>
        <w:pStyle w:val="ListBullet"/>
        <w:spacing w:after="60"/>
      </w:pPr>
      <w:r>
        <w:t>1. Ăn/uống ngay 15g Carb nhanh (1/2 cốc nước ngọt, 3-4 viên đường).</w:t>
      </w:r>
    </w:p>
    <w:p>
      <w:pPr>
        <w:pStyle w:val="ListBullet"/>
        <w:spacing w:after="60"/>
      </w:pPr>
      <w:r>
        <w:t>2. Nghỉ ngơi &amp; đo lại đường huyết sau 15 phút.</w:t>
      </w:r>
    </w:p>
    <w:p>
      <w:pPr>
        <w:pStyle w:val="ListBullet"/>
        <w:spacing w:after="60"/>
      </w:pPr>
      <w:r>
        <w:t>3. Nếu vẫn &lt; 3.9 mmol/L: Lặp lại 15g Carb và đo lại sau 15 phút.</w:t>
      </w:r>
    </w:p>
    <w:p>
      <w:pPr>
        <w:pStyle w:val="ListBullet"/>
        <w:spacing w:after="60"/>
      </w:pPr>
      <w:r>
        <w:t>4. Khi &gt; 3.9 mmol/L: Ăn bữa chính/phụ để tránh tái phát.</w:t>
      </w:r>
    </w:p>
    <w:p>
      <w:pPr>
        <w:pStyle w:val="Heading2"/>
      </w:pPr>
      <w:r>
        <w:t>Xử trí Level 3 (Hôn mê)</w:t>
      </w:r>
    </w:p>
    <w:p>
      <w:pPr>
        <w:pStyle w:val="ListBullet"/>
        <w:spacing w:after="60"/>
      </w:pPr>
      <w:r>
        <w:t>Tại viện: Tiêm tĩnh mạch Glucose 30% (20 – 50 mL) hoặc Glucose 20% (40 – 100 mL) tĩnh mạch chậm.</w:t>
      </w:r>
    </w:p>
    <w:p>
      <w:pPr>
        <w:pStyle w:val="ListBullet"/>
        <w:spacing w:after="60"/>
      </w:pPr>
      <w:r>
        <w:t>Tại nhà: Tiêm bắp/dưới da Glucagon 1mg hoặc xịt mũi Baqsimi 3mg.</w:t>
      </w:r>
    </w:p>
    <w:p>
      <w:pPr>
        <w:spacing w:after="120"/>
      </w:pPr>
      <w:r>
        <w:rPr>
          <w:b/>
          <w:color w:val="1F3A5F"/>
        </w:rPr>
        <w:t xml:space="preserve">⚠️ QUAN TRỌNG: </w:t>
      </w:r>
      <w:r>
        <w:rPr>
          <w:b w:val="0"/>
          <w:color w:val="1F3A5F"/>
        </w:rPr>
        <w:t>Hạ đường huyết do Sulfonylurea (SU) có thể tái phát kéo dài 24–48 giờ → BẮT BUỘC giữ bệnh nhân nằm viện theo dõi 24–48 giờ.</w:t>
      </w:r>
    </w:p>
    <w:p>
      <w:pPr>
        <w:pStyle w:val="Heading1"/>
      </w:pPr>
      <w:r>
        <w:t>4. 10 ĐIỂM CẦN NHỚ</w:t>
      </w:r>
    </w:p>
    <w:p>
      <w:pPr>
        <w:pStyle w:val="ListNumber"/>
        <w:spacing w:after="60"/>
      </w:pPr>
      <w:r>
        <w:t>DKA: Glucose &gt; 13.9 mmol/L KÈM toan máu (pH &lt; 7.3, HCO₃⁻ &lt; 18) và ceton (+).</w:t>
      </w:r>
    </w:p>
    <w:p>
      <w:pPr>
        <w:pStyle w:val="ListNumber"/>
        <w:spacing w:after="60"/>
      </w:pPr>
      <w:r>
        <w:t>HHS: Glucose &gt; 33.3 mmol/L KÈM áp lực thẩm thấu máu &gt; 320 mOsm/kg.</w:t>
      </w:r>
    </w:p>
    <w:p>
      <w:pPr>
        <w:pStyle w:val="ListNumber"/>
        <w:spacing w:after="60"/>
      </w:pPr>
      <w:r>
        <w:t>Euglycemic DKA (do SGLT2i): Toan ceton nhưng đường huyết ≤ 13.9 mmol/L.</w:t>
      </w:r>
    </w:p>
    <w:p>
      <w:pPr>
        <w:pStyle w:val="ListNumber"/>
        <w:spacing w:after="60"/>
      </w:pPr>
      <w:r>
        <w:t>Kiểm tra Kali trước tiêm Insulin: Nếu K⁺ &lt; 3.3 mmol/L, HOÃN TRUYỀN INSULIN.</w:t>
      </w:r>
    </w:p>
    <w:p>
      <w:pPr>
        <w:pStyle w:val="ListNumber"/>
        <w:spacing w:after="60"/>
      </w:pPr>
      <w:r>
        <w:t>Thêm Glucose 5% khi đường huyết DKA &lt; 11.1 mmol/L (HHS &lt; 13.9 mmol/L).</w:t>
      </w:r>
    </w:p>
    <w:p>
      <w:pPr>
        <w:pStyle w:val="ListNumber"/>
        <w:spacing w:after="60"/>
      </w:pPr>
      <w:r>
        <w:t>Bicarbonate CHỈ dùng trong DKA khi pH máu động mạch &lt; 6.90.</w:t>
      </w:r>
    </w:p>
    <w:p>
      <w:pPr>
        <w:pStyle w:val="ListNumber"/>
        <w:spacing w:after="60"/>
      </w:pPr>
      <w:r>
        <w:t>Hạ đường huyết Level 1 là &lt; 3.9 mmol/L; Level 2 là &lt; 3.0 mmol/L.</w:t>
      </w:r>
    </w:p>
    <w:p>
      <w:pPr>
        <w:pStyle w:val="ListNumber"/>
        <w:spacing w:after="60"/>
      </w:pPr>
      <w:r>
        <w:t>Quy tắc 15/15: Ăn 15g Carb nhanh → Thử lại đường huyết sau 15 phút.</w:t>
      </w:r>
    </w:p>
    <w:p>
      <w:pPr>
        <w:pStyle w:val="ListNumber"/>
        <w:spacing w:after="60"/>
      </w:pPr>
      <w:r>
        <w:t>Hạ đường huyết Level 3: Tiêm tĩnh mạch Glucose 30% (20-50 mL) hoặc Glucagon 1mg.</w:t>
      </w:r>
    </w:p>
    <w:p>
      <w:pPr>
        <w:pStyle w:val="ListNumber"/>
        <w:spacing w:after="60"/>
      </w:pPr>
      <w:r>
        <w:t>Hạ đường huyết do Sulfonylurea (SU) bắt buộc giữ theo dõi tại viện 24–48 giờ.</w:t>
      </w:r>
    </w:p>
    <w:p>
      <w:pPr>
        <w:pStyle w:val="Heading1"/>
      </w:pPr>
      <w:r>
        <w:t>5. TÀI LIỆU THAM KHẢO</w:t>
      </w:r>
    </w:p>
    <w:p>
      <w:pPr>
        <w:pStyle w:val="ListBullet"/>
        <w:spacing w:after="60"/>
      </w:pPr>
      <w:r>
        <w:t>ADA Standards of Care in Diabetes 2026, Section 6 &amp; 16. [GUIDELINE VERIFIED]</w:t>
      </w:r>
    </w:p>
    <w:p>
      <w:pPr>
        <w:pStyle w:val="ListBullet"/>
        <w:spacing w:after="60"/>
      </w:pPr>
      <w:r>
        <w:t>Kitabchi AE, et al. Hyperglycemic crises in adult patients with diabetes. Diabetes Care. 2009. PMID: 19564476. [REVIEW VERIFIED]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