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9: BIẾN CHỨNG MẠN TÍNH (THẬN, MẮT, THẦN KINH, BÀN CHÂN)</w:t>
      </w:r>
    </w:p>
    <w:p>
      <w:pPr>
        <w:spacing w:after="40"/>
        <w:jc w:val="center"/>
      </w:pPr>
      <w:r>
        <w:rPr>
          <w:b w:val="0"/>
        </w:rPr>
        <w:t>Bai hoc y khoa - IM-51_Dai_thao_duong - Part 9</w:t>
      </w:r>
    </w:p>
    <w:p>
      <w:pPr>
        <w:spacing w:after="240"/>
        <w:jc w:val="center"/>
      </w:pPr>
      <w:r>
        <w:rPr>
          <w:b w:val="0"/>
        </w:rPr>
        <w:t>Nguồn: ADA Standards of Care 2026 (Section 10, 11, 12), CREDENCE, FIDELIO-DKD [GUIDELINE &amp; TRIALS VERIFIED]</w:t>
      </w:r>
    </w:p>
    <w:p>
      <w:pPr>
        <w:pStyle w:val="Heading1"/>
      </w:pPr>
      <w:r>
        <w:t>0. VÌ SAO PHẢI TẦM SOÁT VÀ ĐIỀU TRỊ SỚM BIẾN CHỨNG MẠN TÍNH?</w:t>
      </w:r>
    </w:p>
    <w:p>
      <w:pPr>
        <w:pStyle w:val="ListBullet"/>
        <w:spacing w:after="60"/>
      </w:pPr>
      <w:r>
        <w:t>Biến chứng vi mạch: Bệnh thận (DKD), Bệnh võng mạc (DR), Bệnh thần kinh (DN). Tăng đường huyết mạn tính là nguyên nhân chính.</w:t>
      </w:r>
    </w:p>
    <w:p>
      <w:pPr>
        <w:pStyle w:val="ListBullet"/>
        <w:spacing w:after="60"/>
      </w:pPr>
      <w:r>
        <w:t>Biến chứng đại mạch: Bệnh mạch vành (CAD), Đột quỵ (Stroke), Bệnh động mạch ngoại biên (PAD).</w:t>
      </w:r>
    </w:p>
    <w:p>
      <w:pPr>
        <w:pStyle w:val="ListBullet"/>
        <w:spacing w:after="60"/>
      </w:pPr>
      <w:r>
        <w:t>Tầm soát định kỳ giúp phát hiện ở giai đoạn sớm chưa triệu chứng để đảo ngược hoặc làm chậm tiến triển.</w:t>
      </w:r>
    </w:p>
    <w:p>
      <w:pPr>
        <w:pStyle w:val="Heading1"/>
      </w:pPr>
      <w:r>
        <w:t>1. BỆNH THẬN ĐÁI THÁO ĐƯỜNG (DKD)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Mức độ Albumin niệu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Tỷ lệ UACR (mg/g)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Tỷ lệ UACR (mg/mmol)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Ý nghĩa lâm sàng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A1 (Bình thường)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30 mg/g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3.0 mg/mmol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Bình thường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A2 (Tăng vừa / Micro)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30 – 300 mg/g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3.0 – 30.0 mg/mmol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Dấu hiệu sớm nhất của tổn thương thận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A3 (Tăng nặng / Macro)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&gt; 300 mg/g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&gt; 30.0 mg/mmol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Tổn thương nặng, nguy cơ ESKD cao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Lịch tầm soát &amp; Kiềng 3 chân bảo vệ thận</w:t>
      </w:r>
    </w:p>
    <w:p>
      <w:pPr>
        <w:pStyle w:val="ListBullet"/>
        <w:spacing w:after="60"/>
      </w:pPr>
      <w:r>
        <w:t>Tầm soát: T2D ngay khi chẩn đoán; T1D sau 5 năm. Làm UACR + eGFR hàng năm.</w:t>
      </w:r>
    </w:p>
    <w:p>
      <w:pPr>
        <w:pStyle w:val="ListBullet"/>
        <w:spacing w:after="60"/>
      </w:pPr>
      <w:r>
        <w:rPr>
          <w:b/>
        </w:rPr>
        <w:t xml:space="preserve">Kiềng 3 chân bảo vệ thận (KDIGO / ADA 2026): </w:t>
      </w:r>
      <w:r>
        <w:rPr>
          <w:b w:val="0"/>
        </w:rPr>
        <w:t>1. ACEi hoặc ARB (khi UACR ≥30 mg/g); 2. SGLT2i (CREDENCE - PMID 30990260: Canagliflozin ↓30% suy thận); 3. Finerenone (FIDELIO-DKD - PMID 33264825: ↓18% biến cố thận).</w:t>
      </w:r>
    </w:p>
    <w:p>
      <w:pPr>
        <w:pStyle w:val="Heading1"/>
      </w:pPr>
      <w:r>
        <w:t>2. BỆNH VÕNG MẠC ĐÁI THÁO ĐƯỜNG (DR)</w:t>
      </w:r>
    </w:p>
    <w:p>
      <w:pPr>
        <w:pStyle w:val="ListBullet"/>
        <w:spacing w:after="60"/>
      </w:pPr>
      <w:r>
        <w:t>Tầm soát: T2D ngay khi chẩn đoán; T1D sau 5 năm. Phụ nữ mang thai khám trước thai kỳ / quý 1, mỗi quý và sau sinh 1 năm.</w:t>
      </w:r>
    </w:p>
    <w:p>
      <w:pPr>
        <w:pStyle w:val="ListBullet"/>
        <w:spacing w:after="60"/>
      </w:pPr>
      <w:r>
        <w:t>Giai đoạn: Không tăng sinh (NPDR) → Tăng sinh (PDR - tân mạch dễ vỡ gây xuất huyết dịch kính, bong võng mạc).</w:t>
      </w:r>
    </w:p>
    <w:p>
      <w:pPr>
        <w:pStyle w:val="ListBullet"/>
        <w:spacing w:after="60"/>
      </w:pPr>
      <w:r>
        <w:rPr>
          <w:b/>
        </w:rPr>
        <w:t xml:space="preserve">Thuốc tiêm nội nhãn Anti-VEGF </w:t>
      </w:r>
      <w:r>
        <w:rPr>
          <w:b w:val="0"/>
        </w:rPr>
        <w:t>(Ranibizumab, Aflibercept, Bevacizumab): Lựa chọn hàng đầu cho Phù hoàng điểm ĐTĐ và PDR.</w:t>
      </w:r>
    </w:p>
    <w:p>
      <w:pPr>
        <w:pStyle w:val="Heading1"/>
      </w:pPr>
      <w:r>
        <w:t>3. BỆNH THẦN KINH ĐÁI THÁO ĐƯỜNG (DN)</w:t>
      </w:r>
    </w:p>
    <w:p>
      <w:pPr>
        <w:pStyle w:val="ListBullet"/>
        <w:spacing w:after="60"/>
      </w:pPr>
      <w:r>
        <w:t>Bệnh đa thần kinh đối xứng ngoại biên (DSPN): tổn thương kiểu "đi găng - đi tất", mất cảm giác đau/nhiệt.</w:t>
      </w:r>
    </w:p>
    <w:p>
      <w:pPr>
        <w:pStyle w:val="ListBullet"/>
        <w:spacing w:after="60"/>
      </w:pPr>
      <w:r>
        <w:t>Khám tầm soát hàng năm: Monofilament 10g + Âm thoa 128Hz + Phản xạ gân gót.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Thuốc điều trị đau thần kinh ĐTĐ First-line: Pregabalin (75-150mg × 2), Gabapentin (300mg × 3), Duloxetine (60mg × 1). Paracetamol và NSAID hoàn toàn KHÔNG HIỆU QUẢ.</w:t>
      </w:r>
    </w:p>
    <w:p>
      <w:pPr>
        <w:pStyle w:val="Heading1"/>
      </w:pPr>
      <w:r>
        <w:t>4. BÀN CHÂN ĐÁI THÁO ĐƯỜNG VÀ CHĂM SÓC BÀN CHÂN</w:t>
      </w:r>
    </w:p>
    <w:p>
      <w:pPr>
        <w:pStyle w:val="ListBullet"/>
        <w:spacing w:after="60"/>
      </w:pPr>
      <w:r>
        <w:t>Tam chứng nguy cơ: Bệnh thần kinh + Bệnh mạch máu ngoại biên (PAD) + Nhiễm trùng.</w:t>
      </w:r>
    </w:p>
    <w:p>
      <w:pPr>
        <w:pStyle w:val="ListBullet"/>
        <w:spacing w:after="60"/>
      </w:pPr>
      <w:r>
        <w:t>Tự chăm sóc hàng ngày: Rửa chân nước ấm, lau khô kẽ ngón; Quan sát chân bằng gương; Cắt móng ngang; LUÔN ĐI GIÀY/DÉP (cả trong nhà), kiểm tra bên trong giày trước khi xỏ.</w:t>
      </w:r>
    </w:p>
    <w:p>
      <w:pPr>
        <w:pStyle w:val="Heading1"/>
      </w:pPr>
      <w:r>
        <w:t>5. BIẾN CHỨNG ĐẠI MẠCH (ASCVD)</w:t>
      </w:r>
    </w:p>
    <w:p>
      <w:pPr>
        <w:pStyle w:val="ListBullet"/>
        <w:spacing w:after="60"/>
      </w:pPr>
      <w:r>
        <w:t>Huyết áp &lt; 130/80 mmHg (ACEi/ARB); Lipid: Statin trung bình / cao (target LDL-C &lt; 1.4 mmol/L [&lt;55 mg/dL] khi có ASCVD); SGLT2i / GLP-1 RA; Aspirin 81-100mg dự phòng thứ phát.</w:t>
      </w:r>
    </w:p>
    <w:p>
      <w:pPr>
        <w:pStyle w:val="Heading1"/>
      </w:pPr>
      <w:r>
        <w:t>6. 10 ĐIỂM CẦN NHỚ</w:t>
      </w:r>
    </w:p>
    <w:p>
      <w:pPr>
        <w:pStyle w:val="ListNumber"/>
        <w:spacing w:after="60"/>
      </w:pPr>
      <w:r>
        <w:t>DKD chẩn đoán khi UACR ≥ 30 mg/g hoặc eGFR &lt; 60 mL/min kéo dài ≥ 3 tháng.</w:t>
      </w:r>
    </w:p>
    <w:p>
      <w:pPr>
        <w:pStyle w:val="ListNumber"/>
        <w:spacing w:after="60"/>
      </w:pPr>
      <w:r>
        <w:t>Tầm soát DKD &amp; DR ngay khi chẩn đoán ở T2D; sau 5 năm ở T1D.</w:t>
      </w:r>
    </w:p>
    <w:p>
      <w:pPr>
        <w:pStyle w:val="ListNumber"/>
        <w:spacing w:after="60"/>
      </w:pPr>
      <w:r>
        <w:t>Kiềng 3 chân bảo vệ thận ĐTĐ: ACEi/ARB + SGLT2i + Finerenone.</w:t>
      </w:r>
    </w:p>
    <w:p>
      <w:pPr>
        <w:pStyle w:val="ListNumber"/>
        <w:spacing w:after="60"/>
      </w:pPr>
      <w:r>
        <w:t>UACR ≥ 30 mg/g bắt buộc dùng ACEi hoặc ARB (không phối hợp cả 2).</w:t>
      </w:r>
    </w:p>
    <w:p>
      <w:pPr>
        <w:pStyle w:val="ListNumber"/>
        <w:spacing w:after="60"/>
      </w:pPr>
      <w:r>
        <w:t>SGLT2i (Canagliflozin, Empagliflozin, Dapagliflozin) giảm 30% suy thận mạn (CREDENCE).</w:t>
      </w:r>
    </w:p>
    <w:p>
      <w:pPr>
        <w:pStyle w:val="ListNumber"/>
        <w:spacing w:after="60"/>
      </w:pPr>
      <w:r>
        <w:t>Tiêm Anti-VEGF nội nhãn là lựa chọn hàng đầu cho Phù hoàng điểm ĐTĐ.</w:t>
      </w:r>
    </w:p>
    <w:p>
      <w:pPr>
        <w:pStyle w:val="ListNumber"/>
        <w:spacing w:after="60"/>
      </w:pPr>
      <w:r>
        <w:t>Đau do Bệnh thần kinh ĐTĐ dùng Pregabalin, Gabapentin, Duloxetine (không dùng NSAID).</w:t>
      </w:r>
    </w:p>
    <w:p>
      <w:pPr>
        <w:pStyle w:val="ListNumber"/>
        <w:spacing w:after="60"/>
      </w:pPr>
      <w:r>
        <w:t>Khám cảm giác nông bàn chân bằng Monofilament 10g và âm thoa 128Hz hàng năm.</w:t>
      </w:r>
    </w:p>
    <w:p>
      <w:pPr>
        <w:pStyle w:val="ListNumber"/>
        <w:spacing w:after="60"/>
      </w:pPr>
      <w:r>
        <w:t>Tuyệt đối không đi chân đất, luôn kiểm tra bên trong giày trước khi xỏ.</w:t>
      </w:r>
    </w:p>
    <w:p>
      <w:pPr>
        <w:pStyle w:val="ListNumber"/>
        <w:spacing w:after="60"/>
      </w:pPr>
      <w:r>
        <w:t>ĐTĐ có ASCVD → mục tiêu LDL-C &lt; 1.4 mmol/L (&lt; 55 mg/dL) bằng Statin liều cao.</w:t>
      </w:r>
    </w:p>
    <w:p>
      <w:pPr>
        <w:pStyle w:val="Heading1"/>
      </w:pPr>
      <w:r>
        <w:t>7. TÀI LIỆU THAM KHẢO</w:t>
      </w:r>
    </w:p>
    <w:p>
      <w:pPr>
        <w:pStyle w:val="ListBullet"/>
        <w:spacing w:after="60"/>
      </w:pPr>
      <w:r>
        <w:t>ADA Standards of Care in Diabetes 2026, Section 10, 11, 12. [GUIDELINE VERIFIED]</w:t>
      </w:r>
    </w:p>
    <w:p>
      <w:pPr>
        <w:pStyle w:val="ListBullet"/>
        <w:spacing w:after="60"/>
      </w:pPr>
      <w:r>
        <w:t>CREDENCE Trial. N Engl J Med. 2019. PMID: 30990260. [TRIALS VERIFIED]</w:t>
      </w:r>
    </w:p>
    <w:p>
      <w:pPr>
        <w:pStyle w:val="ListBullet"/>
        <w:spacing w:after="60"/>
      </w:pPr>
      <w:r>
        <w:t>FIDELIO-DKD Trial. N Engl J Med. 2020. PMID: 33264825. [TRIALS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