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IM-57 — Chuyển hóa xương, vitamin D và loãng xương</w:t>
      </w:r>
    </w:p>
    <w:p>
      <w:r>
        <w:t>Bai hoc y khoa - IM-57_Chuyen_hoa_xuong_vitamin_D_va_loang_xuong_2026-07-22_RELEASE_v1_RESEARCH_BRIEF</w:t>
      </w:r>
    </w:p>
    <w:p>
      <w:pPr>
        <w:pStyle w:val="Title"/>
      </w:pPr>
      <w:r>
        <w:t>RESEARCH BRIEF: IM-57 — Chuyển hóa xương, vitamin D và loãng xương</w:t>
      </w:r>
    </w:p>
    <w:p>
      <w:r>
        <w:rPr>
          <w:b/>
        </w:rPr>
        <w:t>Ngày:</w:t>
      </w:r>
      <w:r>
        <w:t xml:space="preserve"> 2026-07-22 | </w:t>
      </w:r>
      <w:r>
        <w:rPr>
          <w:b/>
        </w:rPr>
        <w:t>Profile:</w:t>
      </w:r>
      <w:r>
        <w:t xml:space="preserve"> foundation | </w:t>
      </w:r>
      <w:r>
        <w:rPr>
          <w:b/>
        </w:rPr>
        <w:t>Đối tượng:</w:t>
      </w:r>
      <w:r>
        <w:t xml:space="preserve"> người học mất nền</w:t>
      </w:r>
    </w:p>
    <w:p>
      <w:pPr>
        <w:pStyle w:val="Heading1"/>
      </w:pPr>
      <w:r>
        <w:t>0. Lesson profile &amp; release contract</w:t>
      </w:r>
    </w:p>
    <w:p>
      <w:r>
        <w:rPr>
          <w:rFonts w:ascii="Consolas" w:hAnsi="Consolas"/>
          <w:sz w:val="18"/>
        </w:rPr>
        <w:t>{</w:t>
        <w:br/>
        <w:t xml:space="preserve">  "profile": "foundation",</w:t>
        <w:br/>
        <w:t xml:space="preserve">  "required_gates": [</w:t>
        <w:br/>
        <w:t xml:space="preserve">    "brief_pmid_preflight",</w:t>
        <w:br/>
        <w:t xml:space="preserve">    "source_pmid_strict",</w:t>
        <w:br/>
        <w:t xml:space="preserve">    "source_claims_strict",</w:t>
        <w:br/>
        <w:t xml:space="preserve">    "citation_zero_block",</w:t>
        <w:br/>
        <w:t xml:space="preserve">    "profile_foundation",</w:t>
        <w:br/>
        <w:t xml:space="preserve">    "cards_schema",</w:t>
        <w:br/>
        <w:t xml:space="preserve">    "candidate_apkg_build",</w:t>
        <w:br/>
        <w:t xml:space="preserve">    "package_note_count",</w:t>
        <w:br/>
        <w:t xml:space="preserve">    "package_diacritics",</w:t>
        <w:br/>
        <w:t xml:space="preserve">    "source_diacritics",</w:t>
        <w:br/>
        <w:t xml:space="preserve">    "learner_smoke"</w:t>
        <w:br/>
        <w:t xml:space="preserve">  ],</w:t>
        <w:br/>
        <w:t xml:space="preserve">  "not_applicable": [],</w:t>
        <w:br/>
        <w:t xml:space="preserve">  "approved_exemptions": []</w:t>
        <w:br/>
        <w:t>}</w:t>
      </w:r>
    </w:p>
    <w:p>
      <w:r>
        <w:rPr>
          <w:b/>
        </w:rPr>
        <w:t>Output basename đã khóa:</w:t>
      </w:r>
      <w:r>
        <w:t xml:space="preserve"> </w:t>
      </w:r>
      <w:r>
        <w:rPr>
          <w:rFonts w:ascii="Consolas" w:hAnsi="Consolas"/>
        </w:rPr>
        <w:t>IM-57_Chuyen_hoa_xuong_vitamin_D_va_loang_xuong_2026-07-22_RELEASE_v1</w:t>
      </w:r>
      <w:r>
        <w:t>.</w:t>
      </w:r>
    </w:p>
    <w:p>
      <w:pPr>
        <w:pStyle w:val="Heading1"/>
      </w:pPr>
      <w:r>
        <w:t>1. Preflight guideline và phạm vi</w:t>
      </w:r>
    </w:p>
    <w:p>
      <w:pPr>
        <w:pStyle w:val="ListBullet"/>
      </w:pPr>
      <w:r>
        <w:rPr>
          <w:rFonts w:ascii="Consolas" w:hAnsi="Consolas"/>
        </w:rPr>
        <w:t>preflight_guideline_check.py</w:t>
      </w:r>
      <w:r>
        <w:t xml:space="preserve"> đã chạy riêng cho NOGG 2024, Endocrine Society 2024, ISCD 2023 và USPSTF 2025: cả bốn trả </w:t>
      </w:r>
      <w:r>
        <w:rPr>
          <w:b/>
        </w:rPr>
        <w:t>WARN</w:t>
      </w:r>
      <w:r>
        <w:t>, không có BLOCK. Registry không có các key osteoporosis/bone density/screening; riêng heuristic vitamin D ghép nhầm ESC 2019. Không sửa registry để hợp thức hóa kết quả.</w:t>
      </w:r>
    </w:p>
    <w:p>
      <w:pPr>
        <w:pStyle w:val="ListBullet"/>
      </w:pPr>
      <w:r>
        <w:t xml:space="preserve">Freshness đã xác nhận trực tiếp: NOGG official page ghi </w:t>
      </w:r>
      <w:r>
        <w:rPr>
          <w:b/>
        </w:rPr>
        <w:t>Updated December 2024</w:t>
      </w:r>
      <w:r>
        <w:t>; ISCD Adult Official Positions ghi cập nhật/được chấp thuận năm 2023; Endocrine Society guideline là PMID: 38828931. USPSTF là trục screening US; do official URL thay đổi/không fetch được, không dùng cutoff USPSTF trong bài.</w:t>
      </w:r>
    </w:p>
    <w:p>
      <w:pPr>
        <w:pStyle w:val="ListBullet"/>
      </w:pPr>
      <w:r>
        <w:t xml:space="preserve">NOGG là khung UK: ngưỡng/công cụ theo NOGG </w:t>
      </w:r>
      <w:r>
        <w:rPr>
          <w:b/>
        </w:rPr>
        <w:t>không phải ngưỡng Việt Nam</w:t>
      </w:r>
      <w:r>
        <w:t>. Khi dùng FRAX, dùng model quốc gia phù hợp nếu có; không thay model UK bằng suy đoán.</w:t>
      </w:r>
    </w:p>
    <w:p>
      <w:pPr>
        <w:pStyle w:val="ListBullet"/>
      </w:pPr>
      <w:r>
        <w:t>IM-57 sở hữu remodeling, vitamin D, nguy cơ gãy, DXA/FRAX, osteoporosis, nguyên nhân thứ phát, điều trị và theo dõi. Chỉ nối tuyến sang IM-55 (rối loạn calcium/phosphat/PTH), IM-44 (CKD), IM-88 (té ngã) và IM-81–86 (cơ xương khớp), không dạy lại chúng.</w:t>
      </w:r>
    </w:p>
    <w:p>
      <w:pPr>
        <w:pStyle w:val="Heading1"/>
      </w:pPr>
      <w:r>
        <w:t>2. Papers đã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đã xác nhận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35478046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BHOF Clinician’s Guide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Gãy ở người lớn tuổi là sentinel event; prevention, diagnosis, treatment, monitoring.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38828931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Endocrine Society guideline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xét nghiệm 25(OH)D thường quy để phòng bệnh ở người không có chỉ định; không dùng bổ sung quá mức thường quy.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40921943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 guideline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Case finding, risk assessment, thuốc, sequence và follow-up.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39808425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USPSTF final recommendation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Screening women from age 65; selective screening of younger postmenopausal women at increased risk; scope and limits.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19671655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FREEDOM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Denosumab so với placebo ở phụ nữ sau mãn kinh osteoporosis; outcome vertebral/nonvertebral/hip fracture.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17476007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HORIZON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Zoledronic acid so với placebo ở postmenopausal osteoporosis; fracture outcomes.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28892457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ARCH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Romosozumab rồi alendronate so với alendronate ở phụ nữ osteoporosis có fragility fracture.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29129436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VERO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Teriparatide so với risedronate ở phụ nữ sau mãn kinh severe osteoporosis; fracture outcomes.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11346808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PTH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PTH(1-34) so với placebo ở phụ nữ sau mãn kinh có vertebral fracture.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7477143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Alendronate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Alendronate so với placebo ở phụ nữ postmenopausal osteoporosis.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17190893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FLEX RCT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Continuing versus stopping alendronate after prior treatment.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21411557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FREEDOM subgroup RCT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Denosumab fracture outcomes in higher-risk subgroups.</w:t>
            </w:r>
          </w:p>
        </w:tc>
      </w:tr>
    </w:tbl>
    <w:p>
      <w:r>
        <w:rPr>
          <w:b/>
        </w:rPr>
        <w:t>Đã loại:</w:t>
      </w:r>
      <w:r>
        <w:t xml:space="preserve"> PMID 25182228 là Clinician’s Guide cũ, abstract quá ngắn để đóng claim; không dùng làm nguồn claim. Không dùng số liệu, liều hoặc protocol trial trong lesson/cards chỉ để làm phong phú bài.</w:t>
      </w:r>
    </w:p>
    <w:p>
      <w:pPr>
        <w:pStyle w:val="Heading1"/>
      </w:pPr>
      <w:r>
        <w:t>3. Claims đã khóa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liên tục được remodeling bởi osteoclast, osteoblast và osteocyte; mất cân bằng kéo dài làm suy giảm khối lượng/chất lượng xương.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Harrison’s 21e; NOGG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[TEXTBOOK; 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Gãy fragility là gãy sau lực thấp; một gãy ở người từ trung niên trở lên là tín hiệu đánh giá nguy cơ gãy tiếp theo, không chờ DXA mới xử trí secondary prevention.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35478046; NOGG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VERIFIED; 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DXA đo BMD; ở phụ nữ sau mãn kinh và nam từ 50 tuổi, T-score dùng cho phân loại densitometry; người trẻ hơn ưu tiên Z-score và không chẩn đoán osteoporosis chỉ từ BMD.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ISCD 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FRAX kết hợp clinical risk factors, có thể dùng có hoặc không có femoral-neck BMD; output không thay clinical judgement, không đo đáp ứng thuốc và phải dùng model quốc gia phù hợp.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Người có osteoporosis/fragility fracture cần tìm nguyên nhân thứ phát; low BMD không tự phân biệt osteomalacia, CKD-MBD, cường cận giáp, myeloma hay di căn.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2024; ISCD 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Nền tảng phòng gãy gồm vận động chịu lực/kháng lực phù hợp, dinh dưỡng, calcium ưu tiên từ khẩu phần, tránh thuốc lá/rượu quá mức và phòng té ngã; không thay thế thuốc khi thuốc được chỉ định.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35478046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Antiresorptive là lựa chọn đầu tay ở đa số người có nguy cơ gãy; very-high risk có thể phù hợp anabolic/dual-action rồi antiresorptive nối tiếp.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2024; PMID: 28892457; PMID: 29129436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VERIFIED; 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Trước parenteral anti-osteoporosis therapy phải nhận diện và xử lý hypocalcemia/vitamin D deficiency thích hợp; CKD hoặc rối loạn chuyển hóa phức tạp cần chọn/chuyển chuyên khoa an toàn.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được tự ngừng hoặc trì hoãn denosumab khi chưa có kế hoạch antiresorptive tiếp theo vì nguy cơ vertebral fracture tăng sau ngừng không có kế hoạch.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2024; PMID: 19671655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VERIFIED; 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đùi/bẹn/hip không giải thích ở người dùng antiresorptive cần nghĩ AFF và imaging femur; triệu chứng răng miệng/dental disease cần đánh giá trước quản lý thích hợp.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NOGG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Ở người không có established indication, Endocrine Society không ủng hộ routine 25(OH)D testing chỉ để phòng bệnh; điều này không áp dụng để bỏ qua đánh giá người nghi deficiency/osteomalacia.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38828931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USPSTF 2025 applies to adults without known osteoporosis, fragility fracture, secondary osteoporosis or chronic bone-loss medication exposure: screen women from age 65 with central DXA, with or without fracture-risk assessment; for younger postmenopausal women, first identify risk factors then use clinical risk assessment before DXA. Evidence is insufficient for population screening in men.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39808425; USPSTF 2025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VERIFIED; GUIDELINE VERIFIED]</w:t>
            </w:r>
          </w:p>
        </w:tc>
      </w:tr>
    </w:tbl>
    <w:p>
      <w:pPr>
        <w:pStyle w:val="Heading1"/>
      </w:pPr>
      <w:r>
        <w:t>4. Kiến thức nền có nguồn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Xương vỏ tạo vỏ cứng; xương bè có mạng bè chịu lực và chuyển hóa nhanh hơn.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Harrison’s 21e, metabolic bone disease]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Osteoblast tạo osteoid; osteoclast tiêu xương; osteocyte cảm nhận tải lực và điều phối remodeling.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Robbins &amp; Cotran 10e, bone]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Vitamin D từ da/thức ăn được chuyển thành 25(OH)D, rồi dạng hoạt động; PTH, calcium và phosphat phối hợp duy trì khoáng hóa.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Harrison’s 21e, calcium and bone metabolism]</w:t>
            </w:r>
          </w:p>
        </w:tc>
      </w:tr>
    </w:tbl>
    <w:p>
      <w:pPr>
        <w:pStyle w:val="Heading1"/>
      </w:pPr>
      <w:r>
        <w:t>5. Số liệu CẤM dùng</w:t>
      </w:r>
    </w:p>
    <w:p>
      <w:pPr>
        <w:pStyle w:val="ListBullet"/>
      </w:pPr>
      <w:r>
        <w:t>Không đưa ngưỡng vitamin D, liều calcium/vitamin D, interval DXA, duration drug holiday, liều/lịch từng thuốc, hoặc threshold treatment của UK vào bài/cards nếu không kèm trực tiếp guideline/full-text phù hợp thực hành địa phương.</w:t>
      </w:r>
    </w:p>
    <w:p>
      <w:pPr>
        <w:pStyle w:val="ListBullet"/>
      </w:pPr>
      <w:r>
        <w:t>Không đưa số liệu hiệu quả RCT (RR, CI, phần trăm, cỡ mẫu) vào bài/cards.</w:t>
      </w:r>
    </w:p>
    <w:p>
      <w:pPr>
        <w:pStyle w:val="ListBullet"/>
      </w:pPr>
      <w:r>
        <w:t>Không biến T-score đơn lẻ hoặc 25(OH)D đơn lẻ thành chẩn đoán mọi đau xương/gãy xương.</w:t>
      </w:r>
    </w:p>
    <w:p>
      <w:pPr>
        <w:pStyle w:val="Heading1"/>
      </w:pPr>
      <w:r>
        <w:t>6. Dàn ý thực thi</w:t>
      </w:r>
    </w:p>
    <w:p>
      <w:pPr>
        <w:pStyle w:val="ListNumber"/>
      </w:pPr>
      <w:r>
        <w:t>Tổng quan và hộp phạm vi; dạy nền tảng ngay tại chỗ.</w:t>
      </w:r>
    </w:p>
    <w:p>
      <w:pPr>
        <w:pStyle w:val="ListNumber"/>
      </w:pPr>
      <w:r>
        <w:t>Định nghĩa fragility fracture, osteoporosis, osteomalacia và mục tiêu giảm gãy.</w:t>
      </w:r>
    </w:p>
    <w:p>
      <w:pPr>
        <w:pStyle w:val="ListNumber"/>
      </w:pPr>
      <w:r>
        <w:t>Cơ chế: remodeling, ageing, vitamin D/PTH/calcium/phosphat; nối cơ chế với gãy.</w:t>
      </w:r>
    </w:p>
    <w:p>
      <w:pPr>
        <w:pStyle w:val="ListNumber"/>
      </w:pPr>
      <w:r>
        <w:t>Chẩn đoán: BOX ĐỎ trước nhánh ngoại trú; risk factors, DXA T/Z score, FRAX, secondary work-up, differential và Plan B thiếu DXA.</w:t>
      </w:r>
    </w:p>
    <w:p>
      <w:r>
        <w:t>4a. Screening: case phụ nữ 67 tuổi chưa có gãy/known osteoporosis thuộc scope USPSTF; giải thích DXA central có hoặc không risk assessment, rồi đánh giá và quản lý theo kết quả; không chuyển khuyến cáo US thành chính sách Việt Nam.</w:t>
      </w:r>
    </w:p>
    <w:p>
      <w:pPr>
        <w:pStyle w:val="ListNumber"/>
      </w:pPr>
      <w:r>
        <w:t>Điều trị: nền tảng, phân tầng low/high/very-high, antiresorptive, parenteral, anabolic/dual-action và sequence; tránh protocol chưa khóa.</w:t>
      </w:r>
    </w:p>
    <w:p>
      <w:pPr>
        <w:pStyle w:val="ListNumber"/>
      </w:pPr>
      <w:r>
        <w:t>Theo dõi/an toàn: adherence, reassessment, AFF/ONJ, hypocalcemia, denosumab.</w:t>
      </w:r>
    </w:p>
    <w:p>
      <w:pPr>
        <w:pStyle w:val="ListNumber"/>
      </w:pPr>
      <w:r>
        <w:t>Flowchart có red flag, fracture hiện hữu, DXA có/không, secondary cause và referral.</w:t>
      </w:r>
    </w:p>
    <w:p>
      <w:pPr>
        <w:pStyle w:val="ListNumber"/>
      </w:pPr>
      <w:r>
        <w:t>Bốn case đúng năm bước; tips, summary, evidence và references.</w:t>
      </w:r>
    </w:p>
    <w:p>
      <w:pPr>
        <w:pStyle w:val="Heading1"/>
      </w:pPr>
      <w:r>
        <w:t>7. Hướng dẫn execute</w:t>
      </w:r>
    </w:p>
    <w:p>
      <w:pPr>
        <w:pStyle w:val="ListBullet"/>
      </w:pPr>
      <w:r>
        <w:t>Chỉ dùng claims trên; chỉ dùng số cụ thể khi đã full verified, ưu tiên không dùng số cụ thể.</w:t>
      </w:r>
    </w:p>
    <w:p>
      <w:pPr>
        <w:pStyle w:val="ListBullet"/>
      </w:pPr>
      <w:r>
        <w:t>Dùng tiếng Việt có dấu; giải thích thuật ngữ lần đầu.</w:t>
      </w:r>
    </w:p>
    <w:p>
      <w:pPr>
        <w:pStyle w:val="ListBullet"/>
      </w:pPr>
      <w:r>
        <w:t>Đặt BOX ĐỎ trước thuật toán thường quy. Flowchart có nhánh cấp cứu và thiếu nguồn lực.</w:t>
      </w:r>
    </w:p>
    <w:p>
      <w:pPr>
        <w:pStyle w:val="ListBullet"/>
      </w:pPr>
      <w:r>
        <w:t>Mọi PMID của reference phải giữ tag hợp lệ. Markdown là source of truth; cards/APKG sau lesson source gate.</w:t>
      </w:r>
    </w:p>
    <w:p>
      <w:pPr>
        <w:pStyle w:val="ListBullet"/>
      </w:pPr>
      <w:r>
        <w:t>Case screening chỉ dùng scope/đường đi đã khóa từ USPSTF 2025; không suy diễn interval, treatment threshold hoặc khuyến cáo population screening cho nam.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