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CHUYỂN HÓA XƯƠNG, VITAMIN D VÀ LOÃNG XƯƠNG</w:t>
      </w:r>
    </w:p>
    <w:p>
      <w:r>
        <w:t>Bai hoc y khoa - IM-57_Chuyen_hoa_xuong_vitamin_D_va_loang_xuong_2026-07-23_RELEASE_v2</w:t>
      </w:r>
    </w:p>
    <w:p>
      <w:pPr>
        <w:pStyle w:val="Title"/>
      </w:pPr>
      <w:r>
        <w:t>BÀI HỌC Y KHOA: CHUYỂN HÓA XƯƠNG, VITAMIN D VÀ LOÃNG XƯƠNG</w:t>
      </w:r>
    </w:p>
    <w:p>
      <w:r>
        <w:rPr>
          <w:b/>
        </w:rPr>
        <w:t>Ngày:</w:t>
      </w:r>
      <w:r>
        <w:t xml:space="preserve"> 2026-07-23 | </w:t>
      </w:r>
      <w:r>
        <w:rPr>
          <w:b/>
        </w:rPr>
        <w:t>Chuyên khoa:</w:t>
      </w:r>
      <w:r>
        <w:t xml:space="preserve"> Nội khoa — Nội tiết và chuyển hóa | </w:t>
      </w:r>
      <w:r>
        <w:rPr>
          <w:b/>
        </w:rPr>
        <w:t>Đối tượng:</w:t>
      </w:r>
      <w:r>
        <w:t xml:space="preserve"> Bác sĩ, học viên sau đại học và người học mất gốc cần học từ nền tảng</w:t>
      </w:r>
    </w:p>
    <w:p/>
    <w:p>
      <w:pPr>
        <w:pStyle w:val="Heading1"/>
      </w:pPr>
      <w:r>
        <w:t>0. TỔNG QUAN — VÌ SAO BÀI NÀY QUAN TRỌNG?</w:t>
      </w:r>
    </w:p>
    <w:p>
      <w:r>
        <w:t>Loãng xương thường diễn tiến thầm lặng không triệu chứng cho đến khi biến chứng gãy xương đầu tiên xuất hiện. Gánh nặng bệnh lý và tỷ lệ gãy xương gia tăng nhanh chóng theo tuổi tác, khiến người bệnh mất khả năng tự sinh hoạt và gia tăng nguy cơ tử vong. Gãy xương do lực thấp (fragility fracture) không chỉ đơn thuần là một tai nạn "té xui", mà là một dấu hiệu cảnh báo nghiêm trọng (sentinel event) đòi hỏi bác sĩ phải đánh giá ngay lập tức độ bền xương, tìm kiếm nguyên nhân thứ phát và lập kế hoạch phòng ngừa gãy xương thứ phát mà không được trì hoãn (PMID: 35478046) [ABSTRACT VERIFIED].</w:t>
      </w:r>
    </w:p>
    <w:p>
      <w:r>
        <w:rPr>
          <w:b/>
        </w:rPr>
        <w:t>Dịch tễ học:</w:t>
      </w:r>
      <w:r>
        <w:t xml:space="preserve"> Loãng xương có </w:t>
      </w:r>
      <w:r>
        <w:rPr>
          <w:b/>
        </w:rPr>
        <w:t>tỷ lệ</w:t>
      </w:r>
      <w:r>
        <w:t xml:space="preserve"> (prevalence) ảnh hưởng ước tính hàng trăm triệu người trên toàn cầu; </w:t>
      </w:r>
      <w:r>
        <w:rPr>
          <w:b/>
        </w:rPr>
        <w:t>tần suất</w:t>
      </w:r>
      <w:r>
        <w:t xml:space="preserve"> gãy xương do loãng xương tăng theo cấp số nhân sau tuổi 50 và là nguyên nhân hàng đầu gây tàn phế ở người cao tuổi. Gãy cổ xương đùi có </w:t>
      </w:r>
      <w:r>
        <w:rPr>
          <w:b/>
        </w:rPr>
        <w:t>tỷ lệ</w:t>
      </w:r>
      <w:r>
        <w:t xml:space="preserve"> tử vong trong năm đầu lên đến 20–30% ở người lớn tuổi, và hơn 50% người sống sót không hồi phục được khả năng đi lại độc lập. (PMID: 35478046) [ABSTRACT VERIFIED]</w:t>
      </w:r>
    </w:p>
    <w:p>
      <w:r>
        <w:rPr>
          <w:b/>
        </w:rPr>
        <w:t>Mục tiêu của bài:</w:t>
      </w:r>
    </w:p>
    <w:p>
      <w:pPr>
        <w:pStyle w:val="ListBullet"/>
      </w:pPr>
      <w:r>
        <w:t>Nhận diện sớm gãy xương do lực thấp, các dấu hiệu đỏ nguy hiểm và đối tượng cần đánh giá nguy cơ gãy xương.</w:t>
      </w:r>
    </w:p>
    <w:p>
      <w:pPr>
        <w:pStyle w:val="ListBullet"/>
      </w:pPr>
      <w:r>
        <w:t>Hiểu và phiên giải đúng chỉ định của DXA (T-score, Z-score) và công cụ FRAX; không bao giờ lấy một con số đơn độc thay thế cho tư duy lâm sàng toàn diện.</w:t>
      </w:r>
    </w:p>
    <w:p>
      <w:pPr>
        <w:pStyle w:val="ListBullet"/>
      </w:pPr>
      <w:r>
        <w:t>Phân tầng nguy cơ gãy xương, thực hiện đầy đủ các quy tắc an toàn trước khi khởi trị và xây dựng chiến lược điều trị nối tiếp cũng như theo dõi dài hạn cho người bệnh.</w:t>
      </w:r>
    </w:p>
    <w:p>
      <w:pPr>
        <w:ind w:left="567"/>
      </w:pPr>
      <w:r>
        <w:rPr>
          <w:b/>
          <w:i/>
        </w:rPr>
        <w:t>HỘP PHẠM VI — RANH GIỚI VỚI CÁC BÀI KHÁC</w:t>
      </w:r>
    </w:p>
    <w:p>
      <w:r>
        <w:t>&gt;</w:t>
      </w:r>
    </w:p>
    <w:p>
      <w:pPr>
        <w:ind w:left="567"/>
      </w:pPr>
      <w:r>
        <w:rPr>
          <w:i/>
        </w:rPr>
        <w:t xml:space="preserve">- </w:t>
      </w:r>
      <w:r>
        <w:rPr>
          <w:b/>
          <w:i/>
        </w:rPr>
        <w:t>IM-57 sở hữu:</w:t>
      </w:r>
      <w:r>
        <w:rPr>
          <w:i/>
        </w:rPr>
        <w:t xml:space="preserve"> Chuyển hóa và tái cấu trúc xương (remodeling), sinh lý vitamin D, đánh giá nguy cơ gãy xương, đo mật độ xương (DXA) và FRAX, chẩn đoán loãng xương, tầm soát nguyên nhân thứ phát, chiến lược điều trị và theo dõi an toàn dài hạn.</w:t>
      </w:r>
    </w:p>
    <w:p>
      <w:pPr>
        <w:ind w:left="567"/>
      </w:pPr>
      <w:r>
        <w:rPr>
          <w:i/>
        </w:rPr>
        <w:t xml:space="preserve">- </w:t>
      </w:r>
      <w:r>
        <w:rPr>
          <w:b/>
          <w:i/>
        </w:rPr>
        <w:t>Rối loạn điện giải cấp:</w:t>
      </w:r>
      <w:r>
        <w:rPr>
          <w:i/>
        </w:rPr>
        <w:t xml:space="preserve"> Các tình huống cấp cứu hạ/tăng calcium, phosphat, magnesi máu hoặc bệnh lý tuyến cận giáp nguyên phát được chuyển sang bài </w:t>
      </w:r>
      <w:r>
        <w:rPr>
          <w:b/>
          <w:i/>
        </w:rPr>
        <w:t>IM-55 (Rối loạn Calcium, Phosphat và PTH)</w:t>
      </w:r>
      <w:r>
        <w:rPr>
          <w:i/>
        </w:rPr>
        <w:t>.</w:t>
      </w:r>
    </w:p>
    <w:p>
      <w:pPr>
        <w:ind w:left="567"/>
      </w:pPr>
      <w:r>
        <w:rPr>
          <w:i/>
        </w:rPr>
        <w:t xml:space="preserve">- </w:t>
      </w:r>
      <w:r>
        <w:rPr>
          <w:b/>
          <w:i/>
        </w:rPr>
        <w:t>Bệnh lý xương do thận:</w:t>
      </w:r>
      <w:r>
        <w:rPr>
          <w:i/>
        </w:rPr>
        <w:t xml:space="preserve"> Bệnh nhân suy thận mãn có tổn thương xương (CKD-MBD) cần phối hợp quản lý theo bài </w:t>
      </w:r>
      <w:r>
        <w:rPr>
          <w:b/>
          <w:i/>
        </w:rPr>
        <w:t>IM-44 (Bệnh thận mãn)</w:t>
      </w:r>
      <w:r>
        <w:rPr>
          <w:i/>
        </w:rPr>
        <w:t>.</w:t>
      </w:r>
    </w:p>
    <w:p>
      <w:pPr>
        <w:ind w:left="567"/>
      </w:pPr>
      <w:r>
        <w:rPr>
          <w:i/>
        </w:rPr>
        <w:t xml:space="preserve">- </w:t>
      </w:r>
      <w:r>
        <w:rPr>
          <w:b/>
          <w:i/>
        </w:rPr>
        <w:t>Té ngã và Cơ xương khớp:</w:t>
      </w:r>
      <w:r>
        <w:rPr>
          <w:i/>
        </w:rPr>
        <w:t xml:space="preserve"> Đánh giá té ngã và phục hồi chức năng người già nối sang </w:t>
      </w:r>
      <w:r>
        <w:rPr>
          <w:b/>
          <w:i/>
        </w:rPr>
        <w:t>IM-88</w:t>
      </w:r>
      <w:r>
        <w:rPr>
          <w:i/>
        </w:rPr>
        <w:t xml:space="preserve">; các bệnh lý viêm khớp, thoái hóa khớp, Gout nối sang chuỗi bài </w:t>
      </w:r>
      <w:r>
        <w:rPr>
          <w:b/>
          <w:i/>
        </w:rPr>
        <w:t>IM-81 đến IM-86</w:t>
      </w:r>
      <w:r>
        <w:rPr>
          <w:i/>
        </w:rPr>
        <w:t>.</w:t>
      </w:r>
    </w:p>
    <w:p/>
    <w:p>
      <w:pPr>
        <w:pStyle w:val="Heading2"/>
      </w:pPr>
      <w:r>
        <w:t>0.1 Nền tảng tối thiểu cần dùng ngay</w:t>
      </w:r>
    </w:p>
    <w:p>
      <w:r>
        <w:t>Toàn bộ hệ xương của cơ thể không phải là một bộ khung vô tri bằng bê tông đúc sẵn, mà là một mô sống liên tục được phá đi và tái thiết lập từng ngày. [Thông tin cơ bản - LLM verified]</w:t>
      </w:r>
    </w:p>
    <w:p>
      <w:r>
        <w:t>Để dễ hình dung, hãy tưởng tượng xương giống như một ngôi nhà đang được sửa chữa liên tục — tế bào osteoclast là đội thợ phá dỡ tường cũ, còn tế bào osteoblast là đội thợ xây tường mới. [Thông tin cơ bản - LLM verified]</w:t>
      </w:r>
    </w:p>
    <w:p>
      <w:r>
        <w:t>Quá trình sửa chữa cuộn tròn liên tục này được gọi là sự tái cấu trúc xương (remodeling). [Thông tin cơ bản - LLM verified]</w:t>
      </w:r>
    </w:p>
    <w:p>
      <w:r>
        <w:t>Trong hệ thống này, có ba loại tế bào chính đóng vai trò cốt lõi điều phối: [Thông tin cơ bản - LLM verified]</w:t>
      </w:r>
    </w:p>
    <w:p>
      <w:pPr>
        <w:pStyle w:val="ListBullet"/>
      </w:pPr>
      <w:r>
        <w:rPr>
          <w:b/>
        </w:rPr>
        <w:t>Osteoclast (tế bào tiêu xương):</w:t>
      </w:r>
      <w:r>
        <w:t xml:space="preserve"> Tiết ra acid và enzyme để hòa tan khoáng chất và phân hủy khung protein của phần xương cũ hoặc xương bị tổn thương vi thể (micro-damage). [Thông tin cơ bản - LLM verified]</w:t>
      </w:r>
    </w:p>
    <w:p>
      <w:pPr>
        <w:pStyle w:val="ListBullet"/>
      </w:pPr>
      <w:r>
        <w:rPr>
          <w:b/>
        </w:rPr>
        <w:t>Osteoblast (tế bào tạo xương):</w:t>
      </w:r>
      <w:r>
        <w:t xml:space="preserve"> Đóng vai trò thợ xây, chế tạo ra chất nền protein mới (gọi là osteoid) và gắn khoáng chất lên đó để tạo thành xương mới cứng chắc. [Thông tin cơ bản - LLM verified]</w:t>
      </w:r>
    </w:p>
    <w:p>
      <w:pPr>
        <w:pStyle w:val="ListBullet"/>
      </w:pPr>
      <w:r>
        <w:rPr>
          <w:b/>
        </w:rPr>
        <w:t>Osteocyte (tế bào xương trưởng thành):</w:t>
      </w:r>
      <w:r>
        <w:t xml:space="preserve"> Nằm sâu bên trong lòng xương, hoạt động như những cảm biến cơ học (mechanical sensors) nhận diện tải lực vận động hằng ngày và phát tín hiệu điều hướng cho osteoclast và osteoblast làm việc đúng chỗ. [Thông tin cơ bản - LLM verified]</w:t>
      </w:r>
    </w:p>
    <w:p>
      <w:r>
        <w:t>Khi tốc độ phá dỡ của osteoclast lớn hơn tốc độ xây dựng của osteoblast kéo dài theo thời gian, lượng mô xương sẽ bị mất dần, cấu trúc vi thể của xương bị đứt gãy và rỗng như bọt biển. [Thông tin cơ bản - LLM verified]</w:t>
      </w:r>
    </w:p>
    <w:p>
      <w:r>
        <w:t>Kết quả là xương bị suy giảm độ bền nghiêm trọng và dễ dàng gãy gập ngay cả khi chỉ chịu một lực tác động rất nhỏ trong sinh hoạt hằng ngày. [Thông tin cơ bản - LLM verified]</w:t>
      </w:r>
    </w:p>
    <w:p>
      <w:r>
        <w:t>Sự khoáng hóa để xương đạt độ cứng chắc đòi hỏi sự phối hợp nhịp nhàng của một bộ bốn bao gồm Vitamin D, Calcium, Phosphat và PTH (Hormone tuyến cận giáp): [Thông tin cơ bản - LLM verified]</w:t>
      </w:r>
    </w:p>
    <w:p>
      <w:pPr>
        <w:pStyle w:val="ListBullet"/>
      </w:pPr>
      <w:r>
        <w:t>Calcium và Phosphat là hai "viên gạch" chính cấu tạo nên tinh thể hydroxyapatite làm nên độ cứng của xương. [Thông tin cơ bản - LLM verified]</w:t>
      </w:r>
    </w:p>
    <w:p>
      <w:pPr>
        <w:pStyle w:val="ListBullet"/>
      </w:pPr>
      <w:r>
        <w:t>Vitamin D (sau khi được hoạt hóa thành dạng 1,25(OH)2D) đóng vai trò như "người vận chuyển", kích thích ruột hấp thu Calcium và Phosphat từ thức ăn vào máu. [Thông tin cơ bản - LLM verified]</w:t>
      </w:r>
    </w:p>
    <w:p>
      <w:pPr>
        <w:pStyle w:val="ListBullet"/>
      </w:pPr>
      <w:r>
        <w:t>PTH đóng vai trò như "ông chủ điều phối nồng độ Calcium máu"; khi Calcium máu giảm, PTH được tiết ra để kéo Calcium từ xương ra và tăng giữ Calcium ở thận. [Thông tin cơ bản - LLM verified]</w:t>
      </w:r>
    </w:p>
    <w:p>
      <w:r>
        <w:t>Ở người lớn tuổi và đặc biệt là phụ nữ sau mãn kinh, nồng độ Estrogen suy giảm đột ngột khiến cho tác dụng chèn ép osteoclast bị mất đi. [Thông tin cơ bản - LLM verified]</w:t>
      </w:r>
    </w:p>
    <w:p>
      <w:r>
        <w:t>Thiếu hụt Estrogen làm cho osteoclast tăng hoạt động và sống lâu hơn, đẩy nhanh tốc độ tiêu xương vượt xa khả năng đắp của osteoblast, dẫn tới mất xương nhanh chóng. [Thông tin cơ bản - LLM verified]</w:t>
      </w:r>
    </w:p>
    <w:p>
      <w:r>
        <w:t>Khái niệm Gãy xương do lực thấp (Fragility fracture) là hệ quả lâm sàng quan trọng nhất của quá trình mất xương này. [Thông tin cơ bản - LLM verified]</w:t>
      </w:r>
    </w:p>
    <w:p>
      <w:r>
        <w:t>Hãy hình dung gãy xương do lực thấp giống như một que diêm bị mục gãy rắc khi chạm nhẹ vào mép bàn — tức là gãy xương xảy ra sau một chấn thương rất nhẹ (như té từ tư thế đứng hoặc bước hụt chân) mà ở một người trẻ khỏe mạnh bình thường sẽ hoàn toàn không gây ra tổn thương gãy xương nào. [Thông tin cơ bản - LLM verified]</w:t>
      </w:r>
    </w:p>
    <w:p/>
    <w:p>
      <w:pPr>
        <w:pStyle w:val="Heading1"/>
      </w:pPr>
      <w:r>
        <w:t>1. ĐỊNH NGHĨA — TỪ XƯƠNG YẾU ĐẾN GÃY XƯƠNG [CỐT LÕI]</w:t>
      </w:r>
    </w:p>
    <w:p>
      <w:pPr>
        <w:pStyle w:val="Heading2"/>
      </w:pPr>
      <w:r>
        <w:t>1.1 Loãng xương là gì?</w:t>
      </w:r>
    </w:p>
    <w:p>
      <w:r>
        <w:rPr>
          <w:b/>
        </w:rPr>
        <w:t>Loãng xương (Osteoporosis)</w:t>
      </w:r>
      <w:r>
        <w:t xml:space="preserve"> là một rối loạn chuyển hóa của hệ xương đặc trưng bởi sự suy giảm mật độ khoáng xương (BMD) và tổn thương cấu trúc vi thể của xương, dẫn đến hậu quả làm giảm độ bền của xương và gia tăng nguy cơ gãy xương. </w:t>
      </w:r>
    </w:p>
    <w:p>
      <w:r>
        <w:t>Độ bền của xương không chỉ phụ thuộc đơn thuần vào khối lượng khoáng chất (BMD) mà còn phụ thuộc vào chất lượng xương (kiến trúc bè xương, mức độ tích tụ vi tổn thương, tốc độ chuyển hóa xương) và nguy cơ té ngã của người bệnh. Do đó, một kết quả đo DXA bình thường hay giảm nhẹ không thể loại trừ hoàn toàn nguy cơ gãy xương nếu người bệnh có chất lượng xương kém hoặc nguy cơ té ngã rất cao.</w:t>
      </w:r>
    </w:p>
    <w:p>
      <w:r>
        <w:t>Loãng xương nguyên phát được chia thành hai nhóm chính: loãng xương sau mãn kinh (typ I, liên quan trực tiếp đến sự thiếu hụt estrogen) và loãng xương ở người già (typ II, liên quan đến quá trình lão hóa của cả tế bào tạo xương và giảm hấp thu calcium ở ruột). Loãng xương thứ phát xảy ra khi quá trình mất xương là hệ quả của một bệnh lý nền (như bệnh nội tiết, bệnh tiêu hóa giảm hấp thu, bệnh thận) hoặc do dùng các thuốc làm mất xương (đặc biệt là glucocorticoid kéo dài).</w:t>
      </w:r>
    </w:p>
    <w:p>
      <w:pPr>
        <w:pStyle w:val="Heading2"/>
      </w:pPr>
      <w:r>
        <w:t>1.2 Gãy xương do lực thấp (Fragility fracture) và phòng ngừa thứ phát</w:t>
      </w:r>
    </w:p>
    <w:p>
      <w:r>
        <w:rPr>
          <w:b/>
        </w:rPr>
        <w:t>Gãy xương do lực thấp (Fragility fracture)</w:t>
      </w:r>
      <w:r>
        <w:t xml:space="preserve"> được định nghĩa là gãy xương xảy ra do các lực cơ học thông thường mà bình thường không đủ làm gãy một xương khỏe mạnh. Về mặt lâm sàng, đó là biến cố gãy xương xảy ra sau một té ngã từ tư thế đứng hoặc từ độ cao thấp hơn, hoặc gãy xương xảy ra tự nhiên không có chấn thương (như gãy đốt sống khi ho, cúi người hoặc bê vật nhẹ). Các vị trí gãy xương do lực thấp điển hình bao gồm: cổ xương đùi (hông), đốt sống, đầu dưới xương cấy tay, và đầu dưới xương cản tay (gãy Colles).</w:t>
      </w:r>
    </w:p>
    <w:p>
      <w:r>
        <w:t xml:space="preserve">Khi một bệnh nhân từ trung niên trở lên xuất hiện gãy xương do lực thấp, biến cố này phải được xem là một </w:t>
      </w:r>
      <w:r>
        <w:rPr>
          <w:b/>
        </w:rPr>
        <w:t>tín hiệu báo động lâm sàng (sentinel event)</w:t>
      </w:r>
      <w:r>
        <w:t xml:space="preserve">. Một biến cố gãy xương do lực thấp phản ánh độ bền xương đã suy giảm nghiêm trọng và dự báo nguy cơ gãy các xương tiếp theo (nguy cơ dội ngược gãy xương trong 1-2 năm đầu) gia tăng gấp nhiều lần (PMID: 35478046) [ABSTRACT VERIFIED]. Do đó, việc khởi động chiến lược phòng ngừa thứ phát (secondary prevention) và đánh giá toàn diện nguy cơ gãy xương phải được tiến hành ngay lập tức mà </w:t>
      </w:r>
      <w:r>
        <w:rPr>
          <w:b/>
        </w:rPr>
        <w:t>không cần trì hoãn chờ kết quả đo DXA</w:t>
      </w:r>
      <w:r>
        <w:t xml:space="preserve"> (PMID: 40921943) [GUIDELINE VERIFIED].</w:t>
      </w:r>
    </w:p>
    <w:p>
      <w:pPr>
        <w:pStyle w:val="Heading2"/>
      </w:pPr>
      <w:r>
        <w:t>1.3 Phân biệt Loãng xương và Chứng mềm xương (Osteomalacia)</w:t>
      </w:r>
    </w:p>
    <w:p>
      <w:r>
        <w:t>Một nhầm lẫn rất phổ biến trên lâm sàng là gộp chung Loãng xương (Osteoporosis) và Chứng mềm xương (Osteomalacia). Đây là hai thực thể bệnh lý có cơ chế sinh lý bệnh và phương hướng điều trị hoàn toàn khác biệt: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 phân biệt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Loãng xương (Osteoporosis)</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Mềm xương (Osteomalacia)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Bản chất tổn thương</w:t>
            </w:r>
          </w:p>
        </w:tc>
        <w:tc>
          <w:tcPr>
            <w:tcW w:type="dxa" w:w="2880"/>
            <w:tcBorders>
              <w:top w:val="single" w:sz="4" w:color="000000"/>
              <w:left w:val="single" w:sz="4" w:color="000000"/>
              <w:bottom w:val="single" w:sz="4" w:color="000000"/>
              <w:right w:val="single" w:sz="4" w:color="000000"/>
            </w:tcBorders>
          </w:tcPr>
          <w:p>
            <w:r/>
            <w:r>
              <w:t xml:space="preserve">Giảm cả </w:t>
            </w:r>
            <w:r>
              <w:rPr>
                <w:b/>
              </w:rPr>
              <w:t>lượng</w:t>
            </w:r>
            <w:r>
              <w:t xml:space="preserve"> chất nền protein và khoáng chất (xương mỏng, rỗng nhưng khoáng hóa bình thường)</w:t>
            </w:r>
          </w:p>
        </w:tc>
        <w:tc>
          <w:tcPr>
            <w:tcW w:type="dxa" w:w="2880"/>
            <w:tcBorders>
              <w:top w:val="single" w:sz="4" w:color="000000"/>
              <w:left w:val="single" w:sz="4" w:color="000000"/>
              <w:bottom w:val="single" w:sz="4" w:color="000000"/>
              <w:right w:val="single" w:sz="4" w:color="000000"/>
            </w:tcBorders>
          </w:tcPr>
          <w:p>
            <w:r/>
            <w:r>
              <w:t xml:space="preserve">Bất thường quá trình </w:t>
            </w:r>
            <w:r>
              <w:rPr>
                <w:b/>
              </w:rPr>
              <w:t>khoáng hóa</w:t>
            </w:r>
            <w:r>
              <w:t xml:space="preserve"> chất nền xương (chất nền protein đắp ra nhưng không được gắn khoáng chất)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Nguyên nhân cốt lõi</w:t>
            </w:r>
          </w:p>
        </w:tc>
        <w:tc>
          <w:tcPr>
            <w:tcW w:type="dxa" w:w="2880"/>
            <w:tcBorders>
              <w:top w:val="single" w:sz="4" w:color="000000"/>
              <w:left w:val="single" w:sz="4" w:color="000000"/>
              <w:bottom w:val="single" w:sz="4" w:color="000000"/>
              <w:right w:val="single" w:sz="4" w:color="000000"/>
            </w:tcBorders>
          </w:tcPr>
          <w:p>
            <w:r/>
            <w:r>
              <w:t>Mất cân bằng tiêu xương &gt; tạo xương (thiếu estrogen, lão hóa, glucocorticoid)</w:t>
            </w:r>
          </w:p>
        </w:tc>
        <w:tc>
          <w:tcPr>
            <w:tcW w:type="dxa" w:w="2880"/>
            <w:tcBorders>
              <w:top w:val="single" w:sz="4" w:color="000000"/>
              <w:left w:val="single" w:sz="4" w:color="000000"/>
              <w:bottom w:val="single" w:sz="4" w:color="000000"/>
              <w:right w:val="single" w:sz="4" w:color="000000"/>
            </w:tcBorders>
          </w:tcPr>
          <w:p>
            <w:r/>
            <w:r>
              <w:t>Thiếu hụt nghiêm trọng Vitamin D hoặc rối loạn chuyển hóa Phosphat/Calcium kéo dài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Triệu chứng lâm sàng</w:t>
            </w:r>
          </w:p>
        </w:tc>
        <w:tc>
          <w:tcPr>
            <w:tcW w:type="dxa" w:w="2880"/>
            <w:tcBorders>
              <w:top w:val="single" w:sz="4" w:color="000000"/>
              <w:left w:val="single" w:sz="4" w:color="000000"/>
              <w:bottom w:val="single" w:sz="4" w:color="000000"/>
              <w:right w:val="single" w:sz="4" w:color="000000"/>
            </w:tcBorders>
          </w:tcPr>
          <w:p>
            <w:r/>
            <w:r>
              <w:t>Âm thầm cho đến khi gãy xương; không đau xương lan tỏa</w:t>
            </w:r>
          </w:p>
        </w:tc>
        <w:tc>
          <w:tcPr>
            <w:tcW w:type="dxa" w:w="2880"/>
            <w:tcBorders>
              <w:top w:val="single" w:sz="4" w:color="000000"/>
              <w:left w:val="single" w:sz="4" w:color="000000"/>
              <w:bottom w:val="single" w:sz="4" w:color="000000"/>
              <w:right w:val="single" w:sz="4" w:color="000000"/>
            </w:tcBorders>
          </w:tcPr>
          <w:p>
            <w:r/>
            <w:r>
              <w:t>Đau xương lan tỏa, ấn đau xương dọc xương dài/chậu, yếu cơ gốc chi (dáng đi như vịt)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Xét nghiệm máu</w:t>
            </w:r>
          </w:p>
        </w:tc>
        <w:tc>
          <w:tcPr>
            <w:tcW w:type="dxa" w:w="2880"/>
            <w:tcBorders>
              <w:top w:val="single" w:sz="4" w:color="000000"/>
              <w:left w:val="single" w:sz="4" w:color="000000"/>
              <w:bottom w:val="single" w:sz="4" w:color="000000"/>
              <w:right w:val="single" w:sz="4" w:color="000000"/>
            </w:tcBorders>
          </w:tcPr>
          <w:p>
            <w:r/>
            <w:r>
              <w:t xml:space="preserve">Calcium, Phosphat, Alkaline Phosphatase (ALP) máu thường </w:t>
            </w:r>
            <w:r>
              <w:rPr>
                <w:b/>
              </w:rPr>
              <w:t>bình thường</w:t>
            </w:r>
          </w:p>
        </w:tc>
        <w:tc>
          <w:tcPr>
            <w:tcW w:type="dxa" w:w="2880"/>
            <w:tcBorders>
              <w:top w:val="single" w:sz="4" w:color="000000"/>
              <w:left w:val="single" w:sz="4" w:color="000000"/>
              <w:bottom w:val="single" w:sz="4" w:color="000000"/>
              <w:right w:val="single" w:sz="4" w:color="000000"/>
            </w:tcBorders>
          </w:tcPr>
          <w:p>
            <w:r/>
            <w:r>
              <w:t>Calcium/Phosphat máu thường giảm, ALP tăng cao, 25(OH)D máu giảm rất thấp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X-quang / DXA</w:t>
            </w:r>
          </w:p>
        </w:tc>
        <w:tc>
          <w:tcPr>
            <w:tcW w:type="dxa" w:w="2880"/>
            <w:tcBorders>
              <w:top w:val="single" w:sz="4" w:color="000000"/>
              <w:left w:val="single" w:sz="4" w:color="000000"/>
              <w:bottom w:val="single" w:sz="4" w:color="000000"/>
              <w:right w:val="single" w:sz="4" w:color="000000"/>
            </w:tcBorders>
          </w:tcPr>
          <w:p>
            <w:r/>
            <w:r>
              <w:t>DXA giảm BMD; X-quang thấy xương thấu quang, vỏ xương mỏng</w:t>
            </w:r>
          </w:p>
        </w:tc>
        <w:tc>
          <w:tcPr>
            <w:tcW w:type="dxa" w:w="2880"/>
            <w:tcBorders>
              <w:top w:val="single" w:sz="4" w:color="000000"/>
              <w:left w:val="single" w:sz="4" w:color="000000"/>
              <w:bottom w:val="single" w:sz="4" w:color="000000"/>
              <w:right w:val="single" w:sz="4" w:color="000000"/>
            </w:tcBorders>
          </w:tcPr>
          <w:p>
            <w:r/>
            <w:r>
              <w:t>DXA giảm BMD; X-quang thấy đường rạn Pseudofracture (đường Looser)</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Thái độ điều trị</w:t>
            </w:r>
          </w:p>
        </w:tc>
        <w:tc>
          <w:tcPr>
            <w:tcW w:type="dxa" w:w="2880"/>
            <w:tcBorders>
              <w:top w:val="single" w:sz="4" w:color="000000"/>
              <w:left w:val="single" w:sz="4" w:color="000000"/>
              <w:bottom w:val="single" w:sz="4" w:color="000000"/>
              <w:right w:val="single" w:sz="4" w:color="000000"/>
            </w:tcBorders>
          </w:tcPr>
          <w:p>
            <w:r/>
            <w:r>
              <w:t>Thuốc chống tiêu xương / tăng tạo xương</w:t>
            </w:r>
          </w:p>
        </w:tc>
        <w:tc>
          <w:tcPr>
            <w:tcW w:type="dxa" w:w="2880"/>
            <w:tcBorders>
              <w:top w:val="single" w:sz="4" w:color="000000"/>
              <w:left w:val="single" w:sz="4" w:color="000000"/>
              <w:bottom w:val="single" w:sz="4" w:color="000000"/>
              <w:right w:val="single" w:sz="4" w:color="000000"/>
            </w:tcBorders>
          </w:tcPr>
          <w:p>
            <w:r/>
            <w:r>
              <w:t>Bổ sung liều điều trị Vitamin D và Calcium / Phosphat</w:t>
            </w:r>
          </w:p>
        </w:tc>
      </w:tr>
    </w:tbl>
    <w:p>
      <w:pPr>
        <w:ind w:left="567"/>
      </w:pPr>
      <w:r>
        <w:rPr>
          <w:i/>
        </w:rPr>
        <w:t xml:space="preserve">⚠️ </w:t>
      </w:r>
      <w:r>
        <w:rPr>
          <w:b/>
          <w:i/>
        </w:rPr>
        <w:t>HỌC VIÊN HAY NHẦM:</w:t>
      </w:r>
      <w:r>
        <w:rPr>
          <w:i/>
        </w:rPr>
        <w:t xml:space="preserve"> Coi "té ngã gây gãy xương" là một tai nạn thuần túy cơ học và phủ nhận tình trạng loãng xương. Sự thật là: Lực cơ học từ cú té chỉ là yếu tố khởi phát; chính độ bền xương suy giảm mới quyết định xem cú té đó có làm gãy xương hay không. Ngược lại, nhầm lẫn đau xương lan tỏa do mềm xương (osteomalacia) thành loãng xương rồi kê ngay thuốc chống tiêu xương bisphosphonate sẽ khiến tình trạng mềm xương trở nên nặng nề hơn.</w:t>
      </w:r>
    </w:p>
    <w:p/>
    <w:p>
      <w:pPr>
        <w:pStyle w:val="Heading2"/>
      </w:pPr>
      <w:r>
        <w:t>🛑 DỪNG 1 PHÚT — TỰ KIỂM TRA</w:t>
      </w:r>
    </w:p>
    <w:p>
      <w:pPr>
        <w:ind w:left="567"/>
      </w:pPr>
      <w:r>
        <w:rPr>
          <w:i/>
        </w:rPr>
        <w:t>1. Vì sao một biến cố gãy cổ xương đùi sau té từ tư thế đứng ở người 70 tuổi được xem là một sentinel event cần xử trí phòng ngừa thứ phát ngay mà không đợi kết quả DXA?</w:t>
      </w:r>
    </w:p>
    <w:p>
      <w:r>
        <w:t xml:space="preserve">&gt; </w:t>
      </w:r>
    </w:p>
    <w:p>
      <w:pPr>
        <w:ind w:left="567"/>
      </w:pPr>
      <w:r>
        <w:rPr>
          <w:i/>
        </w:rPr>
        <w:t>(Đáp án: Vì gãy xương do lực thấp chứng minh độ bền xương đã suy giảm nghiêm trọng và báo hiệu nguy cơ gãy xương tiếp theo tăng rất cao trong thời gian ngắn; trì hoãn điều trị để chờ DXA làm mất đi cơ hội vàng bảo vệ bệnh nhân.)</w:t>
      </w:r>
    </w:p>
    <w:p>
      <w:r>
        <w:t>&gt;</w:t>
      </w:r>
    </w:p>
    <w:p>
      <w:pPr>
        <w:ind w:left="567"/>
      </w:pPr>
      <w:r>
        <w:rPr>
          <w:i/>
        </w:rPr>
        <w:t>2. Sự khác biệt căn bản nhất về mặt sinh lý bệnh giữa Loãng xương (Osteoporosis) và Chứng mềm xương (Osteomalacia) là gì?</w:t>
      </w:r>
    </w:p>
    <w:p>
      <w:r>
        <w:t>&gt;</w:t>
      </w:r>
    </w:p>
    <w:p>
      <w:pPr>
        <w:ind w:left="567"/>
      </w:pPr>
      <w:r>
        <w:rPr>
          <w:i/>
        </w:rPr>
        <w:t>(Đáp án: Loãng xương là suy giảm toàn bộ khối lượng xương nhưng phần xương còn lại vẫn được khoáng hóa bình thường; trong khi Mềm xương là khi khuyết tật quá trình khoáng hóa khiến chất nền xương không gắn đủ khoáng chất.)</w:t>
      </w:r>
    </w:p>
    <w:p/>
    <w:p>
      <w:pPr>
        <w:pStyle w:val="Heading1"/>
      </w:pPr>
      <w:r>
        <w:t>2. SINH LÝ &amp; CƠ CHẾ BỆNH SINH [CỐT LÕI]</w:t>
      </w:r>
    </w:p>
    <w:p>
      <w:pPr>
        <w:ind w:left="567"/>
      </w:pPr>
      <w:r>
        <w:rPr>
          <w:b/>
          <w:i/>
        </w:rPr>
        <w:t>Nguồn kiến thức nền:</w:t>
      </w:r>
      <w:r>
        <w:rPr>
          <w:i/>
        </w:rPr>
        <w:t xml:space="preserve"> Harrison’s Principles of Internal Medicine (21st ed), Chapter on Metabolic Bone Disease; Robbins &amp; Cotran Pathologic Basis of Disease (10th ed), Chapter on Bones, Joints, and Soft Tissue Tumors. [TEXTBOOK]</w:t>
      </w:r>
    </w:p>
    <w:p>
      <w:pPr>
        <w:pStyle w:val="Heading2"/>
      </w:pPr>
      <w:r>
        <w:t>2.1 Sinh lý tái cấu trúc xương (Remodeling) bình thường</w:t>
      </w:r>
    </w:p>
    <w:p>
      <w:r>
        <w:t>Xương là một mô liên kết đặc biệt bao gồm hai thành phần cấu trúc chính:</w:t>
      </w:r>
    </w:p>
    <w:p>
      <w:pPr>
        <w:pStyle w:val="ListBullet"/>
      </w:pPr>
      <w:r>
        <w:rPr>
          <w:b/>
        </w:rPr>
        <w:t>Xương vỏ (Cortical bone):</w:t>
      </w:r>
      <w:r>
        <w:t xml:space="preserve"> Chiếm khoảng 80% khối lượng xương toàn cơ thể, hình thành nên lớp vỏ cứng cáp bao bọc bên ngoài các xương dài và bề mặt các xương dẹt, đóng vai trò chịu lực cơ học chính. [Thông tin cơ bản - LLM verified]</w:t>
      </w:r>
    </w:p>
    <w:p>
      <w:pPr>
        <w:pStyle w:val="ListBullet"/>
      </w:pPr>
      <w:r>
        <w:rPr>
          <w:b/>
        </w:rPr>
        <w:t>Xương bè (Trabecular/Cancellous bone):</w:t>
      </w:r>
      <w:r>
        <w:t xml:space="preserve"> Chiếm khoảng 20% khối lượng xương, nằm bên trong đầu xương dài và thân các đốt sống, có cấu trúc dạng mạng lưới tổ ong. Xương bè có diện tích bề mặt tiếp xúc lớn hơn rất nhiều so với xương vỏ, tốc độ chuyển hóa và tái cấu trúc nhanh hơn gấp 8 lần xương vỏ, do đó đây là nơi biểu hiện tổn thương mất xương sớm nhất và nặng nề nhất khi có rối loạn chuyển hóa. [Thông tin cơ bản - LLM verified]</w:t>
      </w:r>
    </w:p>
    <w:p>
      <w:r>
        <w:t>Quá trình tái cấu trúc xương (remodeling) diễn ra liên tục suốt đời tại các Đơn vị Tái cấu trúc Xương (Basic Multicellular Units - BMUs) thông qua 5 giai đoạn nối tiếp:</w:t>
      </w:r>
    </w:p>
    <w:p>
      <w:pPr>
        <w:pStyle w:val="ListNumber"/>
      </w:pPr>
      <w:r>
        <w:rPr>
          <w:b/>
        </w:rPr>
        <w:t>Giai đoạn Kích hoạt (Activation):</w:t>
      </w:r>
      <w:r>
        <w:t xml:space="preserve"> Osteocyte phát hiện các vi tổn thương cơ học hoặc sự thay đổi hormone, phát tín hiệu chiêu mộ các tiền tế bào tiêu xương đến bề mặt xương.</w:t>
      </w:r>
    </w:p>
    <w:p>
      <w:pPr>
        <w:pStyle w:val="ListNumber"/>
      </w:pPr>
      <w:r>
        <w:rPr>
          <w:b/>
        </w:rPr>
        <w:t>Giai đoạn Tiêu xương (Resorption):</w:t>
      </w:r>
      <w:r>
        <w:t xml:space="preserve"> Osteoclast gắn chặt vào bề mặt xương, tạo ra một khoang kín (hốc Howship), tiết ra acid hydrochloric để hòa tan khoáng chất hydroxyapatite và enzym Cathepsin K để tiêu hủy chất nền collagen typ I.</w:t>
      </w:r>
    </w:p>
    <w:p>
      <w:pPr>
        <w:pStyle w:val="ListNumber"/>
      </w:pPr>
      <w:r>
        <w:rPr>
          <w:b/>
        </w:rPr>
        <w:t>Giai đoạn Đảo ngược (Reversal):</w:t>
      </w:r>
      <w:r>
        <w:t xml:space="preserve"> Osteoclast hoàn thành nhiệm vụ và đi vào quá trình tử vong theo lập trình (apoptosis). Các tế bào chuyển tiếp làm sạch hốc tiêu xương và chuẩn bị bề mặt cho tế bào tạo xương.</w:t>
      </w:r>
    </w:p>
    <w:p>
      <w:pPr>
        <w:pStyle w:val="ListNumber"/>
      </w:pPr>
      <w:r>
        <w:rPr>
          <w:b/>
        </w:rPr>
        <w:t>Giai đoạn Tạo xương (Formation):</w:t>
      </w:r>
      <w:r>
        <w:t xml:space="preserve"> Osteoblast di chuyển vào hốc tiêu xương, tiết ra các chuỗi collagen typ I và các protein non-collagen để tạo nên chất nền xương mới chưa khoáng hóa gọi là </w:t>
      </w:r>
      <w:r>
        <w:rPr>
          <w:b/>
        </w:rPr>
        <w:t>osteoid</w:t>
      </w:r>
      <w:r>
        <w:t>.</w:t>
      </w:r>
    </w:p>
    <w:p>
      <w:pPr>
        <w:pStyle w:val="ListNumber"/>
      </w:pPr>
      <w:r>
        <w:rPr>
          <w:b/>
        </w:rPr>
        <w:t>Giai đoạn Khoáng hóa (Mineralization):</w:t>
      </w:r>
      <w:r>
        <w:t xml:space="preserve"> Calcium và Phosphat được lắng đọng dưới dạng các tinh thể hydroxyapatite vào khung osteoid. Quá trình này kéo dài nhiều tháng để đạt độ cứng tối đa. Một số osteoblast bị vùi vào trong lòng chất nền mới tạo và biến thành osteocyte.</w:t>
      </w:r>
    </w:p>
    <w:p>
      <w:r>
        <w:t>Bình thường, thể tích xương bị tiêu đi bởi osteoclast được đắp lại hoàn toàn bằng thể tích xương mới do osteoblast tạo ra, giữ cho khối lượng xương (Bone Mass) ổn định.</w:t>
      </w:r>
    </w:p>
    <w:p>
      <w:pPr>
        <w:pStyle w:val="Heading2"/>
      </w:pPr>
      <w:r>
        <w:t>2.2 Trục Vitamin D, PTH, Calcium, Phosphat và sự khoáng hóa xương</w:t>
      </w:r>
    </w:p>
    <w:p>
      <w:r>
        <w:t>Sự khoáng hóa xương phụ thuộc chặt chẽ vào nồng độ Calcium và Phosphat trong huyết tương, vốn được kiểm soát bởi hệ thống điều hòa hormone phức tạp:</w:t>
      </w:r>
    </w:p>
    <w:p>
      <w:pPr>
        <w:pStyle w:val="ListBullet"/>
      </w:pPr>
      <w:r>
        <w:rPr>
          <w:b/>
        </w:rPr>
        <w:t>Chuyển hóa Vitamin D:</w:t>
      </w:r>
      <w:r>
        <w:t xml:space="preserve"> Vitamin D3 (cholecalciferol) được tổng hợp ở da dưới tác động của tia UVB hoặc hấp thu từ thực phẩm. Tại gan, nó được hydroxil hóa thành 25-hydroxyvitamin D [25(OH)D] — đây là dạng lưu hành chính trong máu được dùng để đánh giá nguồn dự trữ Vitamin D của cơ thể. Tại thận, dưới sự kích thích của PTH, enzym 1-alpha-hydroxylase chuyển 25(OH)D thành </w:t>
      </w:r>
      <w:r>
        <w:rPr>
          <w:b/>
        </w:rPr>
        <w:t>1,25-dihydroxyvitamin D [1,25(OH)2D]</w:t>
      </w:r>
      <w:r>
        <w:t xml:space="preserve"> (calcitriol), dạng hormone có hoạt tính sinh học mạnh nhất. Calcitriol gắn lên receptor tại ruột để tăng cường hấp thu Calcium và Phosphat từ thức ăn.</w:t>
      </w:r>
    </w:p>
    <w:p>
      <w:pPr>
        <w:pStyle w:val="ListBullet"/>
      </w:pPr>
      <w:r>
        <w:rPr>
          <w:b/>
        </w:rPr>
        <w:t>Vai trò của PTH (Parathyroid Hormone):</w:t>
      </w:r>
      <w:r>
        <w:t xml:space="preserve"> Tế bào tuyến cận giáp cảm nhận nồng độ Calcium máu qua Calcium-sensing receptor (CaSR). Khi Calcium máu giảm, tuyến cận giáp lập tức tăng tiết PTH. PTH tác động lên thận (tăng tái hấp thu Calcium, giảm tái hấp thu Phosphat, tăng tổng hợp calcitriol) và tác động lên xương (kích thích osteoblast tăng bày bán RANKL, từ đó kích hoạt osteoclast tiêu xương để giải phóng Calcium vào máu).</w:t>
      </w:r>
    </w:p>
    <w:p>
      <w:r>
        <w:rPr>
          <w:b/>
        </w:rPr>
        <w:t>Bảo vệ chỉ định xét nghiệm Vitamin D theo khuyến cáo Endocrine Society 2024:</w:t>
      </w:r>
    </w:p>
    <w:p>
      <w:r>
        <w:t xml:space="preserve">Mặc dù Vitamin D đóng vai trò quan trọng trong chuyển hóa xương, Hướng dẫn của Hội Nội tiết Hoa Kỳ (Endocrine Society 2024) đưa ra khuyến cáo rõ ràng: </w:t>
      </w:r>
      <w:r>
        <w:rPr>
          <w:b/>
        </w:rPr>
        <w:t>Không chỉ định xét nghiệm nồng độ 25(OH)D máu thường quy ở người trưởng thành khỏe mạnh không có chỉ định lâm sàng rõ rệt</w:t>
      </w:r>
      <w:r>
        <w:t xml:space="preserve"> (PMID: 38828931) [ABSTRACT VERIFIED]. Việc tầm soát 25(OH)D diện rộng trong dân số không mang lại lợi ích làm giảm tỷ lệ gãy xương hay cải thiện biến cố lâm sàng, và không được dùng để thay thế cho việc đánh giá nguy cơ gãy xương toàn diện. Chỉ định đo 25(OH)D chỉ dành cho các đối tượng nghi ngờ mềm xương (osteomalacia), bệnh nhân suy thận mãn, bệnh nhân hội chứng kém hấp thu, hoặc trước khi khởi trị các thuốc chống tiêu xương đường tiêm/truyền mạnh.</w:t>
      </w:r>
    </w:p>
    <w:p>
      <w:pPr>
        <w:pStyle w:val="Heading2"/>
      </w:pPr>
      <w:r>
        <w:t>2.3 Cơ chế bệnh sinh gây mất độ bền xương do Tuổi tác, Suy giảm Estrogen và Thuốc</w:t>
      </w:r>
    </w:p>
    <w:p>
      <w:pPr>
        <w:pStyle w:val="ListNumber"/>
      </w:pPr>
      <w:r>
        <w:rPr>
          <w:b/>
        </w:rPr>
        <w:t>Suy giảm Estrogen (Loãng xương sau mãn kinh):</w:t>
      </w:r>
    </w:p>
    <w:p>
      <w:r>
        <w:t xml:space="preserve">   Estrogen đóng vai trò là "chất ức chế tự nhiên" đối với quá trình tiêu xương. Estrogen trực tiếp gây apoptosis tế bào osteoclast và ức chế sự bài tiết các cytokine kích thích tiêu xương (như RANKL, TNF-alpha, IL-1, IL-6) từ tế bào osteoblast và T-cell. Khi phụ nữ bước vào giai đoạn mãn kinh, sự sụt giảm đột ngột nồng độ Estrogen làm giải phóng sự chèn ép này: thời gian sống của osteoclast kéo dài ra, hoạt tính tiêu xương tăng vọt. Sự tiêu xương diễn ra vượt trội so với khả năng tạo xương của osteoblast, dẫn đến đứt gãy mạng lưới bè xương và mỏng lớp xương vỏ.</w:t>
      </w:r>
    </w:p>
    <w:p>
      <w:pPr>
        <w:pStyle w:val="ListNumber"/>
      </w:pPr>
      <w:r>
        <w:rPr>
          <w:b/>
        </w:rPr>
        <w:t>Quá trình Lão hóa (Loãng xương ở người già):</w:t>
      </w:r>
    </w:p>
    <w:p>
      <w:r>
        <w:t xml:space="preserve">   Theo tuổi tác, số lượng và năng lực nhân đôi của các tế bào gốc trung mô (Mesenchymal Stem Cells) bị suy giảm, khiến cho khả năng tạo ra osteoblast mới bị suy yếu đáng kể. Ngoài ra, người già thường bị giảm tổng hợp Vitamin D ở da, giảm khả năng hấp thu calcium ở ruột, và tình trạng cường cận giáp thứ phát nhẹ kéo dài.</w:t>
      </w:r>
    </w:p>
    <w:p>
      <w:pPr>
        <w:pStyle w:val="ListNumber"/>
      </w:pPr>
      <w:r>
        <w:rPr>
          <w:b/>
        </w:rPr>
        <w:t>Mất xương do Glucocorticoid (Glucocorticoid-Induced Osteoporosis - GIOP):</w:t>
      </w:r>
    </w:p>
    <w:p>
      <w:r>
        <w:t xml:space="preserve">   Glucocorticoid là nguyên nhân hàng đầu gây loãng xương thứ phát do thuốc. Glucocorticoid gây tổn thương xương qua cơ chế kép:</w:t>
      </w:r>
    </w:p>
    <w:p>
      <w:pPr>
        <w:pStyle w:val="ListBullet"/>
      </w:pPr>
      <w:r>
        <w:rPr>
          <w:i/>
        </w:rPr>
        <w:t>Ức chế tạo xương:</w:t>
      </w:r>
      <w:r>
        <w:t xml:space="preserve"> Trực tiếp gây apoptosis tế bào osteoblast và osteocyte, đồng thời ức chế con đường tín hiệu Wnt/beta-catenin, làm suy giảm nghiêm trọng sự hình thành xương mới.</w:t>
      </w:r>
    </w:p>
    <w:p>
      <w:pPr>
        <w:pStyle w:val="ListBullet"/>
      </w:pPr>
      <w:r>
        <w:rPr>
          <w:i/>
        </w:rPr>
        <w:t>Tăng tiêu xương ban đầu:</w:t>
      </w:r>
      <w:r>
        <w:t xml:space="preserve"> Tăng bày bán RANKL và giảm Osteoprotegerin (OPG), làm tăng kích hoạt osteoclast trong những tháng đầu điều trị.</w:t>
      </w:r>
    </w:p>
    <w:p>
      <w:pPr>
        <w:pStyle w:val="ListBullet"/>
      </w:pPr>
      <w:r>
        <w:rPr>
          <w:i/>
        </w:rPr>
        <w:t>Giảm hấp thu Calcium:</w:t>
      </w:r>
      <w:r>
        <w:t xml:space="preserve"> Giảm hấp thu Calcium ở ruột và tăng đào thải Calcium qua nước tiểu tại thận, dẫn đến cường cận giáp thứ phát.</w:t>
      </w:r>
    </w:p>
    <w:p/>
    <w:p>
      <w:pPr>
        <w:pStyle w:val="Heading2"/>
      </w:pPr>
      <w:r>
        <w:t>2.4 Diễn biến tự nhiên &amp; Biến chứng — Nếu không điều trị thì sao [CỐT LÕI]</w:t>
      </w:r>
    </w:p>
    <w:p>
      <w:r>
        <w:rPr>
          <w:b/>
        </w:rPr>
        <w:t>Diễn biến tự nhiên theo giai đoạn: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Giai đoạn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Thời gian điển hình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Đặc điểm lâm sàng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Yếu tố thúc đẩy chuyển giai đoạn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Giai đoạn 1 — Mất xương âm thầm</w:t>
            </w:r>
          </w:p>
        </w:tc>
        <w:tc>
          <w:tcPr>
            <w:tcW w:type="dxa" w:w="2160"/>
            <w:tcBorders>
              <w:top w:val="single" w:sz="4" w:color="000000"/>
              <w:left w:val="single" w:sz="4" w:color="000000"/>
              <w:bottom w:val="single" w:sz="4" w:color="000000"/>
              <w:right w:val="single" w:sz="4" w:color="000000"/>
            </w:tcBorders>
          </w:tcPr>
          <w:p>
            <w:r/>
            <w:r>
              <w:t>Thường bắt đầu từ sau tuổi 30–35, tăng tốc sau mãn kinh</w:t>
            </w:r>
          </w:p>
        </w:tc>
        <w:tc>
          <w:tcPr>
            <w:tcW w:type="dxa" w:w="2160"/>
            <w:tcBorders>
              <w:top w:val="single" w:sz="4" w:color="000000"/>
              <w:left w:val="single" w:sz="4" w:color="000000"/>
              <w:bottom w:val="single" w:sz="4" w:color="000000"/>
              <w:right w:val="single" w:sz="4" w:color="000000"/>
            </w:tcBorders>
          </w:tcPr>
          <w:p>
            <w:r/>
            <w:r>
              <w:t>Hoàn toàn không triệu chứng; BMD giảm dần mỗi năm 1–2% sau mãn kinh [Thông tin cơ bản - LLM verified]</w:t>
            </w:r>
          </w:p>
        </w:tc>
        <w:tc>
          <w:tcPr>
            <w:tcW w:type="dxa" w:w="2160"/>
            <w:tcBorders>
              <w:top w:val="single" w:sz="4" w:color="000000"/>
              <w:left w:val="single" w:sz="4" w:color="000000"/>
              <w:bottom w:val="single" w:sz="4" w:color="000000"/>
              <w:right w:val="single" w:sz="4" w:color="000000"/>
            </w:tcBorders>
          </w:tcPr>
          <w:p>
            <w:r/>
            <w:r>
              <w:t>Mãn kinh, dùng glucocorticoid kéo dài, thiếu calcium/vitamin D, bất động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Giai đoạn 2 — Gãy xương đầu tiên (Sentinel event)</w:t>
            </w:r>
          </w:p>
        </w:tc>
        <w:tc>
          <w:tcPr>
            <w:tcW w:type="dxa" w:w="2160"/>
            <w:tcBorders>
              <w:top w:val="single" w:sz="4" w:color="000000"/>
              <w:left w:val="single" w:sz="4" w:color="000000"/>
              <w:bottom w:val="single" w:sz="4" w:color="000000"/>
              <w:right w:val="single" w:sz="4" w:color="000000"/>
            </w:tcBorders>
          </w:tcPr>
          <w:p>
            <w:r/>
            <w:r>
              <w:t>Thường sau tuổi 50–65 tùy yếu tố nguy cơ</w:t>
            </w:r>
          </w:p>
        </w:tc>
        <w:tc>
          <w:tcPr>
            <w:tcW w:type="dxa" w:w="2160"/>
            <w:tcBorders>
              <w:top w:val="single" w:sz="4" w:color="000000"/>
              <w:left w:val="single" w:sz="4" w:color="000000"/>
              <w:bottom w:val="single" w:sz="4" w:color="000000"/>
              <w:right w:val="single" w:sz="4" w:color="000000"/>
            </w:tcBorders>
          </w:tcPr>
          <w:p>
            <w:r/>
            <w:r>
              <w:t>Gãy xương do lực thấp (cổ xương đùi, đốt sống, cổ tay); đau cấp hoặc đau lưng mạn tính nếu gãy đốt sống lặng lẽ</w:t>
            </w:r>
          </w:p>
        </w:tc>
        <w:tc>
          <w:tcPr>
            <w:tcW w:type="dxa" w:w="2160"/>
            <w:tcBorders>
              <w:top w:val="single" w:sz="4" w:color="000000"/>
              <w:left w:val="single" w:sz="4" w:color="000000"/>
              <w:bottom w:val="single" w:sz="4" w:color="000000"/>
              <w:right w:val="single" w:sz="4" w:color="000000"/>
            </w:tcBorders>
          </w:tcPr>
          <w:p>
            <w:r/>
            <w:r>
              <w:t>Nguy cơ gãy xương thứ phát tăng vọt trong 1–2 năm đầu sau gãy xương đầu tiên (PMID: 35478046) [ABSTRACT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Giai đoạn 3 — Loãng xương nặng có gãy xương tái phát</w:t>
            </w:r>
          </w:p>
        </w:tc>
        <w:tc>
          <w:tcPr>
            <w:tcW w:type="dxa" w:w="2160"/>
            <w:tcBorders>
              <w:top w:val="single" w:sz="4" w:color="000000"/>
              <w:left w:val="single" w:sz="4" w:color="000000"/>
              <w:bottom w:val="single" w:sz="4" w:color="000000"/>
              <w:right w:val="single" w:sz="4" w:color="000000"/>
            </w:tcBorders>
          </w:tcPr>
          <w:p>
            <w:r/>
            <w:r>
              <w:t>Sau gãy xương đầu tiên nếu không điều trị</w:t>
            </w:r>
          </w:p>
        </w:tc>
        <w:tc>
          <w:tcPr>
            <w:tcW w:type="dxa" w:w="2160"/>
            <w:tcBorders>
              <w:top w:val="single" w:sz="4" w:color="000000"/>
              <w:left w:val="single" w:sz="4" w:color="000000"/>
              <w:bottom w:val="single" w:sz="4" w:color="000000"/>
              <w:right w:val="single" w:sz="4" w:color="000000"/>
            </w:tcBorders>
          </w:tcPr>
          <w:p>
            <w:r/>
            <w:r>
              <w:t>Gãy xương nhiều vị trí, giảm chiều cao &gt; 4 cm, gù cột sống (kyphosis), đau lưng mạn tính, mất khả năng đi lại độc lập</w:t>
            </w:r>
          </w:p>
        </w:tc>
        <w:tc>
          <w:tcPr>
            <w:tcW w:type="dxa" w:w="2160"/>
            <w:tcBorders>
              <w:top w:val="single" w:sz="4" w:color="000000"/>
              <w:left w:val="single" w:sz="4" w:color="000000"/>
              <w:bottom w:val="single" w:sz="4" w:color="000000"/>
              <w:right w:val="single" w:sz="4" w:color="000000"/>
            </w:tcBorders>
          </w:tcPr>
          <w:p>
            <w:r/>
            <w:r>
              <w:t>Không điều trị hoặc điều trị không đủ liều/thời gian; tự ngưng thuốc; ngã tái phát</w:t>
            </w:r>
          </w:p>
        </w:tc>
      </w:tr>
    </w:tbl>
    <w:p>
      <w:r>
        <w:rPr>
          <w:b/>
        </w:rPr>
        <w:t>Biến chứng — Cơ chế và hậu quả nếu không kiểm soát: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Biến chứng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Cơ chế hình thành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Thời điểm xuất hiện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Dấu hiệu nhận biết sớm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Phòng ngừa</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Gãy cổ xương đùi</w:t>
            </w:r>
          </w:p>
        </w:tc>
        <w:tc>
          <w:tcPr>
            <w:tcW w:type="dxa" w:w="1728"/>
            <w:tcBorders>
              <w:top w:val="single" w:sz="4" w:color="000000"/>
              <w:left w:val="single" w:sz="4" w:color="000000"/>
              <w:bottom w:val="single" w:sz="4" w:color="000000"/>
              <w:right w:val="single" w:sz="4" w:color="000000"/>
            </w:tcBorders>
          </w:tcPr>
          <w:p>
            <w:r/>
            <w:r>
              <w:t>Xương bè mỏng + vỏ xương mỏng → không chịu được lực xoắn khi ngã</w:t>
            </w:r>
          </w:p>
        </w:tc>
        <w:tc>
          <w:tcPr>
            <w:tcW w:type="dxa" w:w="1728"/>
            <w:tcBorders>
              <w:top w:val="single" w:sz="4" w:color="000000"/>
              <w:left w:val="single" w:sz="4" w:color="000000"/>
              <w:bottom w:val="single" w:sz="4" w:color="000000"/>
              <w:right w:val="single" w:sz="4" w:color="000000"/>
            </w:tcBorders>
          </w:tcPr>
          <w:p>
            <w:r/>
            <w:r>
              <w:t>Bất kỳ lúc nào sau khi T-score ≤ −2.5 hoặc có fragility fracture</w:t>
            </w:r>
          </w:p>
        </w:tc>
        <w:tc>
          <w:tcPr>
            <w:tcW w:type="dxa" w:w="1728"/>
            <w:tcBorders>
              <w:top w:val="single" w:sz="4" w:color="000000"/>
              <w:left w:val="single" w:sz="4" w:color="000000"/>
              <w:bottom w:val="single" w:sz="4" w:color="000000"/>
              <w:right w:val="single" w:sz="4" w:color="000000"/>
            </w:tcBorders>
          </w:tcPr>
          <w:p>
            <w:r/>
            <w:r>
              <w:t>Đau hông đột ngột sau ngã nhẹ, không đứng dậy được</w:t>
            </w:r>
          </w:p>
        </w:tc>
        <w:tc>
          <w:tcPr>
            <w:tcW w:type="dxa" w:w="1728"/>
            <w:tcBorders>
              <w:top w:val="single" w:sz="4" w:color="000000"/>
              <w:left w:val="single" w:sz="4" w:color="000000"/>
              <w:bottom w:val="single" w:sz="4" w:color="000000"/>
              <w:right w:val="single" w:sz="4" w:color="000000"/>
            </w:tcBorders>
          </w:tcPr>
          <w:p>
            <w:r/>
            <w:r>
              <w:t>Điều trị thuốc sớm + phòng ngừa té ngã</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Gãy xẹp đốt sống</w:t>
            </w:r>
          </w:p>
        </w:tc>
        <w:tc>
          <w:tcPr>
            <w:tcW w:type="dxa" w:w="1728"/>
            <w:tcBorders>
              <w:top w:val="single" w:sz="4" w:color="000000"/>
              <w:left w:val="single" w:sz="4" w:color="000000"/>
              <w:bottom w:val="single" w:sz="4" w:color="000000"/>
              <w:right w:val="single" w:sz="4" w:color="000000"/>
            </w:tcBorders>
          </w:tcPr>
          <w:p>
            <w:r/>
            <w:r>
              <w:t>Xương bè đốt sống mất cấu trúc → xẹp dưới tải trọng thông thường</w:t>
            </w:r>
          </w:p>
        </w:tc>
        <w:tc>
          <w:tcPr>
            <w:tcW w:type="dxa" w:w="1728"/>
            <w:tcBorders>
              <w:top w:val="single" w:sz="4" w:color="000000"/>
              <w:left w:val="single" w:sz="4" w:color="000000"/>
              <w:bottom w:val="single" w:sz="4" w:color="000000"/>
              <w:right w:val="single" w:sz="4" w:color="000000"/>
            </w:tcBorders>
          </w:tcPr>
          <w:p>
            <w:r/>
            <w:r>
              <w:t>Có thể lặng lẽ (silent fracture) — phát hiện tình cờ trên X-quang</w:t>
            </w:r>
          </w:p>
        </w:tc>
        <w:tc>
          <w:tcPr>
            <w:tcW w:type="dxa" w:w="1728"/>
            <w:tcBorders>
              <w:top w:val="single" w:sz="4" w:color="000000"/>
              <w:left w:val="single" w:sz="4" w:color="000000"/>
              <w:bottom w:val="single" w:sz="4" w:color="000000"/>
              <w:right w:val="single" w:sz="4" w:color="000000"/>
            </w:tcBorders>
          </w:tcPr>
          <w:p>
            <w:r/>
            <w:r>
              <w:t>Giảm chiều cao &gt; 2 cm so với lần đo trước; đau lưng cấp khi ho/cúi</w:t>
            </w:r>
          </w:p>
        </w:tc>
        <w:tc>
          <w:tcPr>
            <w:tcW w:type="dxa" w:w="1728"/>
            <w:tcBorders>
              <w:top w:val="single" w:sz="4" w:color="000000"/>
              <w:left w:val="single" w:sz="4" w:color="000000"/>
              <w:bottom w:val="single" w:sz="4" w:color="000000"/>
              <w:right w:val="single" w:sz="4" w:color="000000"/>
            </w:tcBorders>
          </w:tcPr>
          <w:p>
            <w:r/>
            <w:r>
              <w:t>DXA định kỳ + X-quang cột sống khi đau lưng mới</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Gù cột sống (Kyphosis)</w:t>
            </w:r>
          </w:p>
        </w:tc>
        <w:tc>
          <w:tcPr>
            <w:tcW w:type="dxa" w:w="1728"/>
            <w:tcBorders>
              <w:top w:val="single" w:sz="4" w:color="000000"/>
              <w:left w:val="single" w:sz="4" w:color="000000"/>
              <w:bottom w:val="single" w:sz="4" w:color="000000"/>
              <w:right w:val="single" w:sz="4" w:color="000000"/>
            </w:tcBorders>
          </w:tcPr>
          <w:p>
            <w:r/>
            <w:r>
              <w:t>Nhiều đốt sống xẹp dần → cột sống cong ra trước</w:t>
            </w:r>
          </w:p>
        </w:tc>
        <w:tc>
          <w:tcPr>
            <w:tcW w:type="dxa" w:w="1728"/>
            <w:tcBorders>
              <w:top w:val="single" w:sz="4" w:color="000000"/>
              <w:left w:val="single" w:sz="4" w:color="000000"/>
              <w:bottom w:val="single" w:sz="4" w:color="000000"/>
              <w:right w:val="single" w:sz="4" w:color="000000"/>
            </w:tcBorders>
          </w:tcPr>
          <w:p>
            <w:r/>
            <w:r>
              <w:t>Giai đoạn muộn, sau nhiều đốt sống xẹp</w:t>
            </w:r>
          </w:p>
        </w:tc>
        <w:tc>
          <w:tcPr>
            <w:tcW w:type="dxa" w:w="1728"/>
            <w:tcBorders>
              <w:top w:val="single" w:sz="4" w:color="000000"/>
              <w:left w:val="single" w:sz="4" w:color="000000"/>
              <w:bottom w:val="single" w:sz="4" w:color="000000"/>
              <w:right w:val="single" w:sz="4" w:color="000000"/>
            </w:tcBorders>
          </w:tcPr>
          <w:p>
            <w:r/>
            <w:r>
              <w:t>Chiều cao giảm rõ, bụng nhô ra, khó thở khi nằm ngửa</w:t>
            </w:r>
          </w:p>
        </w:tc>
        <w:tc>
          <w:tcPr>
            <w:tcW w:type="dxa" w:w="1728"/>
            <w:tcBorders>
              <w:top w:val="single" w:sz="4" w:color="000000"/>
              <w:left w:val="single" w:sz="4" w:color="000000"/>
              <w:bottom w:val="single" w:sz="4" w:color="000000"/>
              <w:right w:val="single" w:sz="4" w:color="000000"/>
            </w:tcBorders>
          </w:tcPr>
          <w:p>
            <w:r/>
            <w:r>
              <w:t>Điều trị sớm trước khi xẹp nhiều đốt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Tử vong trong năm đầu sau gãy hông</w:t>
            </w:r>
          </w:p>
        </w:tc>
        <w:tc>
          <w:tcPr>
            <w:tcW w:type="dxa" w:w="1728"/>
            <w:tcBorders>
              <w:top w:val="single" w:sz="4" w:color="000000"/>
              <w:left w:val="single" w:sz="4" w:color="000000"/>
              <w:bottom w:val="single" w:sz="4" w:color="000000"/>
              <w:right w:val="single" w:sz="4" w:color="000000"/>
            </w:tcBorders>
          </w:tcPr>
          <w:p>
            <w:r/>
            <w:r>
              <w:t>Biến chứng hậu phẫu (thuyên tắc phổi, viêm phổi, loét tỳ đè), mất khả năng tự chăm sóc</w:t>
            </w:r>
          </w:p>
        </w:tc>
        <w:tc>
          <w:tcPr>
            <w:tcW w:type="dxa" w:w="1728"/>
            <w:tcBorders>
              <w:top w:val="single" w:sz="4" w:color="000000"/>
              <w:left w:val="single" w:sz="4" w:color="000000"/>
              <w:bottom w:val="single" w:sz="4" w:color="000000"/>
              <w:right w:val="single" w:sz="4" w:color="000000"/>
            </w:tcBorders>
          </w:tcPr>
          <w:p>
            <w:r/>
            <w:r>
              <w:t>Trong 12 tháng đầu sau gãy cổ xương đùi</w:t>
            </w:r>
          </w:p>
        </w:tc>
        <w:tc>
          <w:tcPr>
            <w:tcW w:type="dxa" w:w="1728"/>
            <w:tcBorders>
              <w:top w:val="single" w:sz="4" w:color="000000"/>
              <w:left w:val="single" w:sz="4" w:color="000000"/>
              <w:bottom w:val="single" w:sz="4" w:color="000000"/>
              <w:right w:val="single" w:sz="4" w:color="000000"/>
            </w:tcBorders>
          </w:tcPr>
          <w:p>
            <w:r/>
            <w:r>
              <w:t>Suy giảm chức năng nhanh, không phục hồi đi lại</w:t>
            </w:r>
          </w:p>
        </w:tc>
        <w:tc>
          <w:tcPr>
            <w:tcW w:type="dxa" w:w="1728"/>
            <w:tcBorders>
              <w:top w:val="single" w:sz="4" w:color="000000"/>
              <w:left w:val="single" w:sz="4" w:color="000000"/>
              <w:bottom w:val="single" w:sz="4" w:color="000000"/>
              <w:right w:val="single" w:sz="4" w:color="000000"/>
            </w:tcBorders>
          </w:tcPr>
          <w:p>
            <w:r/>
            <w:r>
              <w:t>Phẫu thuật sớm + phục hồi chức năng tích cực + điều trị loãng xương ngay sau mổ</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Gãy xương đùi không điển hình (AFF)</w:t>
            </w:r>
          </w:p>
        </w:tc>
        <w:tc>
          <w:tcPr>
            <w:tcW w:type="dxa" w:w="1728"/>
            <w:tcBorders>
              <w:top w:val="single" w:sz="4" w:color="000000"/>
              <w:left w:val="single" w:sz="4" w:color="000000"/>
              <w:bottom w:val="single" w:sz="4" w:color="000000"/>
              <w:right w:val="single" w:sz="4" w:color="000000"/>
            </w:tcBorders>
          </w:tcPr>
          <w:p>
            <w:r/>
            <w:r>
              <w:t>Ức chế chu chuyển xương quá mức do bisphosphonate/denosumab kéo dài → vi nứt tích lũy</w:t>
            </w:r>
          </w:p>
        </w:tc>
        <w:tc>
          <w:tcPr>
            <w:tcW w:type="dxa" w:w="1728"/>
            <w:tcBorders>
              <w:top w:val="single" w:sz="4" w:color="000000"/>
              <w:left w:val="single" w:sz="4" w:color="000000"/>
              <w:bottom w:val="single" w:sz="4" w:color="000000"/>
              <w:right w:val="single" w:sz="4" w:color="000000"/>
            </w:tcBorders>
          </w:tcPr>
          <w:p>
            <w:r/>
            <w:r>
              <w:t>Sau &gt; 3–5 năm dùng thuốc chống tiêu xương liên tục</w:t>
            </w:r>
          </w:p>
        </w:tc>
        <w:tc>
          <w:tcPr>
            <w:tcW w:type="dxa" w:w="1728"/>
            <w:tcBorders>
              <w:top w:val="single" w:sz="4" w:color="000000"/>
              <w:left w:val="single" w:sz="4" w:color="000000"/>
              <w:bottom w:val="single" w:sz="4" w:color="000000"/>
              <w:right w:val="single" w:sz="4" w:color="000000"/>
            </w:tcBorders>
          </w:tcPr>
          <w:p>
            <w:r/>
            <w:r>
              <w:t>Đau âm ỉ vùng đùi/bẹn nhiều tuần trước khi gãy hoàn toàn</w:t>
            </w:r>
          </w:p>
        </w:tc>
        <w:tc>
          <w:tcPr>
            <w:tcW w:type="dxa" w:w="1728"/>
            <w:tcBorders>
              <w:top w:val="single" w:sz="4" w:color="000000"/>
              <w:left w:val="single" w:sz="4" w:color="000000"/>
              <w:bottom w:val="single" w:sz="4" w:color="000000"/>
              <w:right w:val="single" w:sz="4" w:color="000000"/>
            </w:tcBorders>
          </w:tcPr>
          <w:p>
            <w:r/>
            <w:r>
              <w:t>Đánh giá drug holiday sau 3–5 năm ở nhóm nguy cơ thấp</w:t>
            </w:r>
          </w:p>
        </w:tc>
      </w:tr>
    </w:tbl>
    <w:p>
      <w:r>
        <w:rPr>
          <w:b/>
        </w:rPr>
        <w:t>Yếu tố tiên lượng xấu:</w:t>
      </w:r>
    </w:p>
    <w:p>
      <w:pPr>
        <w:pStyle w:val="ListBullet"/>
      </w:pPr>
      <w:r>
        <w:rPr>
          <w:b/>
        </w:rPr>
        <w:t>Tuổi cao (&gt; 75 tuổi):</w:t>
      </w:r>
      <w:r>
        <w:t xml:space="preserve"> Khả năng phục hồi sau gãy xương giảm mạnh, nguy cơ tử vong trong năm đầu cao hơn [Thông tin cơ bản - LLM verified]</w:t>
      </w:r>
    </w:p>
    <w:p>
      <w:pPr>
        <w:pStyle w:val="ListBullet"/>
      </w:pPr>
      <w:r>
        <w:rPr>
          <w:b/>
        </w:rPr>
        <w:t>Gãy xương đốt sống trước đó:</w:t>
      </w:r>
      <w:r>
        <w:t xml:space="preserve"> Mỗi đốt sống đã xẹp làm tăng nguy cơ xẹp đốt sống tiếp theo lên nhiều lần (PMID: 35478046) [ABSTRACT VERIFIED]</w:t>
      </w:r>
    </w:p>
    <w:p>
      <w:pPr>
        <w:pStyle w:val="ListBullet"/>
      </w:pPr>
      <w:r>
        <w:rPr>
          <w:b/>
        </w:rPr>
        <w:t>T-score ≤ −3.0:</w:t>
      </w:r>
      <w:r>
        <w:t xml:space="preserve"> Nguy cơ gãy xương tuyệt đối cao hơn đáng kể so với T-score −2.5</w:t>
      </w:r>
    </w:p>
    <w:p>
      <w:pPr>
        <w:pStyle w:val="ListBullet"/>
      </w:pPr>
      <w:r>
        <w:rPr>
          <w:b/>
        </w:rPr>
        <w:t>Nguy cơ té ngã cao:</w:t>
      </w:r>
      <w:r>
        <w:t xml:space="preserve"> Giảm thị lực, dùng thuốc an thần/hạ áp, bệnh thần kinh cơ — té ngã là yếu tố khởi phát trực tiếp mà FRAX không tính đủ</w:t>
      </w:r>
    </w:p>
    <w:p>
      <w:pPr>
        <w:pStyle w:val="ListBullet"/>
      </w:pPr>
      <w:r>
        <w:rPr>
          <w:b/>
        </w:rPr>
        <w:t>Không tuân thủ điều trị:</w:t>
      </w:r>
      <w:r>
        <w:t xml:space="preserve"> Tỷ lệ bỏ thuốc bisphosphonate uống trong năm đầu rất cao do quên liều hoặc tác dụng phụ tiêu hóa [Thông tin cơ bản - LLM verified]</w:t>
      </w:r>
    </w:p>
    <w:p>
      <w:pPr>
        <w:pStyle w:val="Heading1"/>
      </w:pPr>
      <w:r>
        <w:t>3. CHẨN ĐOÁN — AN TOÀN TRƯỚC, ĐÁNH GIÁ ĐÚNG SAU [CỐT LÕI]</w:t>
      </w:r>
    </w:p>
    <w:p>
      <w:pPr>
        <w:ind w:left="567"/>
      </w:pPr>
      <w:r>
        <w:rPr>
          <w:i/>
        </w:rPr>
        <w:t xml:space="preserve">🚨 </w:t>
      </w:r>
      <w:r>
        <w:rPr>
          <w:b/>
          <w:i/>
        </w:rPr>
        <w:t>BOX ĐỎ — DỪNG NHÁNH NGOẠI TRÚ &amp; XỬ TRÍ KHẨN CẤP</w:t>
      </w:r>
    </w:p>
    <w:p>
      <w:r>
        <w:t>&gt;</w:t>
      </w:r>
    </w:p>
    <w:p>
      <w:pPr>
        <w:ind w:left="567"/>
      </w:pPr>
      <w:r>
        <w:rPr>
          <w:i/>
        </w:rPr>
        <w:t>Bác sĩ phải luôn sàng lọc các dấu hiệu đỏ trước khi thực hiện quy trình chẩn đoán ngoại trú thông thường:</w:t>
      </w:r>
    </w:p>
    <w:p>
      <w:r>
        <w:t>&gt;</w:t>
      </w:r>
    </w:p>
    <w:p>
      <w:pPr>
        <w:ind w:left="567"/>
      </w:pPr>
      <w:r>
        <w:rPr>
          <w:i/>
        </w:rPr>
        <w:t>| Dấu hiệu báo động (Red Flag) → Nguy cơ tiềm ẩn | Hành động khẩn cấp ban đầu | Nơi chuyển tuyến chuyên khoa |</w:t>
      </w:r>
    </w:p>
    <w:p>
      <w:pPr>
        <w:ind w:left="567"/>
      </w:pPr>
      <w:r>
        <w:rPr>
          <w:i/>
        </w:rPr>
        <w:t>|---|---|---|</w:t>
      </w:r>
    </w:p>
    <w:p>
      <w:pPr>
        <w:ind w:left="567"/>
      </w:pPr>
      <w:r>
        <w:rPr>
          <w:i/>
        </w:rPr>
        <w:t xml:space="preserve">| </w:t>
      </w:r>
      <w:r>
        <w:rPr>
          <w:b/>
          <w:i/>
        </w:rPr>
        <w:t>Đau lưng cấp dữ dội sau té/chấn thương nhẹ, kèm yếu chi, tê bì, rối loạn cơ tròn (bí tiểu, đại tiện không tự chủ)</w:t>
      </w:r>
      <w:r>
        <w:rPr>
          <w:i/>
        </w:rPr>
        <w:t xml:space="preserve"> → Chèn ép tủy sống / rễ thần kinh cấp do gãy xẹp đốt sống | Bất động cột sống ngay lập tức, không cho bệnh nhân vận động; chụp MRI cột sống cấp cứu; hội chẩn Thần kinh / Chấn thương Chỉnh hình | Cấp cứu / Chấn thương Chỉnh hình / Phẫu thuật Cột sống |</w:t>
      </w:r>
    </w:p>
    <w:p>
      <w:pPr>
        <w:ind w:left="567"/>
      </w:pPr>
      <w:r>
        <w:rPr>
          <w:i/>
        </w:rPr>
        <w:t xml:space="preserve">| </w:t>
      </w:r>
      <w:r>
        <w:rPr>
          <w:b/>
          <w:i/>
        </w:rPr>
        <w:t>Đau xương lan tỏa kèm tăng calcium máu, thiếu máu tiến triển, suy thận, sụt cân không giải thích</w:t>
      </w:r>
      <w:r>
        <w:rPr>
          <w:i/>
        </w:rPr>
        <w:t xml:space="preserve"> → Đa u tủy xương (Multiple Myeloma) hoặc Ung thư di căn xương | Không chẩn đoán loãng xương thông thường; làm xét nghiệm bilan đạm huyết thanh (SPEP/UPEP), X-quang toàn thân, calcium máu | Chuyên khoa Huyết học / Ung bướu |</w:t>
      </w:r>
    </w:p>
    <w:p>
      <w:pPr>
        <w:ind w:left="567"/>
      </w:pPr>
      <w:r>
        <w:rPr>
          <w:i/>
        </w:rPr>
        <w:t xml:space="preserve">| </w:t>
      </w:r>
      <w:r>
        <w:rPr>
          <w:b/>
          <w:i/>
        </w:rPr>
        <w:t>Đau vùng đùi, bẹn hoặc hông mới xuất hiện ở bệnh nhân đang dùng bisphosphonate hoặc denosumab kéo dài</w:t>
      </w:r>
      <w:r>
        <w:rPr>
          <w:i/>
        </w:rPr>
        <w:t xml:space="preserve"> → Gãy xương đùi không điển hình (Atypical Femoral Fracture - AFF) | Ngừng ngay thuốc chống tiêu xương; chụp X-quang xương đùi toàn bộ 2 bên; tránh đè nén tải lực | Chuyên khoa Chấn thương Chỉnh hình / Loãng xương |</w:t>
      </w:r>
    </w:p>
    <w:p>
      <w:pPr>
        <w:ind w:left="567"/>
      </w:pPr>
      <w:r>
        <w:rPr>
          <w:i/>
        </w:rPr>
        <w:t xml:space="preserve">| </w:t>
      </w:r>
      <w:r>
        <w:rPr>
          <w:b/>
          <w:i/>
        </w:rPr>
        <w:t>Hạ calcium máu có triệu chứng (dấu Chvostek/Trousseau, co quắp cơ) trước khi tiêm/truyền thuốc chống loãng xương</w:t>
      </w:r>
      <w:r>
        <w:rPr>
          <w:i/>
        </w:rPr>
        <w:t xml:space="preserve"> → Biến chứng hạ calcium máu trầm trọng do thuốc | </w:t>
      </w:r>
      <w:r>
        <w:rPr>
          <w:b/>
          <w:i/>
        </w:rPr>
        <w:t>Không tiêm/truyền</w:t>
      </w:r>
      <w:r>
        <w:rPr>
          <w:i/>
        </w:rPr>
        <w:t xml:space="preserve"> Zoledronic acid hoặc Denosumab; bù Calcium và Vitamin D đường uống/tĩnh mạch cho đến khi nồng độ Calcium ổn định | Cấp cứu / Nội tiết |</w:t>
      </w:r>
    </w:p>
    <w:p>
      <w:pPr>
        <w:ind w:left="567"/>
      </w:pPr>
      <w:r>
        <w:rPr>
          <w:i/>
        </w:rPr>
        <w:t xml:space="preserve">| </w:t>
      </w:r>
      <w:r>
        <w:rPr>
          <w:b/>
          <w:i/>
        </w:rPr>
        <w:t>Gãy đốt sống mới xuất hiện sau khi hoãn hoặc bỏ liều Denosumab</w:t>
      </w:r>
      <w:r>
        <w:rPr>
          <w:i/>
        </w:rPr>
        <w:t xml:space="preserve"> → Gãy đốt sống dội ngược (Rebound vertebral fracture) | Đánh giá gãy xương cấp; không tự ý tiêm lại Denosumab nếu không có chuyên khoa; lập kế hoạch chuyển sang Bisphosphonate khẩn cấp | Chuyên khoa Nội tiết / Loãng xương |</w:t>
      </w:r>
    </w:p>
    <w:p/>
    <w:p>
      <w:pPr>
        <w:pStyle w:val="Heading2"/>
      </w:pPr>
      <w:r>
        <w:t>3.1 Hỏi bệnh và Khám lâm sàng theo đường nguy cơ</w:t>
      </w:r>
    </w:p>
    <w:p>
      <w:r>
        <w:t>Quy trình đánh giá một bệnh nhân nghi ngờ hoặc có nguy cơ loãng xương cần tập trung khai thác:</w:t>
      </w:r>
    </w:p>
    <w:p>
      <w:pPr>
        <w:pStyle w:val="ListBullet"/>
      </w:pPr>
      <w:r>
        <w:rPr>
          <w:b/>
        </w:rPr>
        <w:t>Tiền sử gãy xương:</w:t>
      </w:r>
      <w:r>
        <w:t xml:space="preserve"> Cơ chế gãy (lực thấp hay lực mạnh), vị trí gãy, tuổi thời điểm gãy.</w:t>
      </w:r>
    </w:p>
    <w:p>
      <w:pPr>
        <w:pStyle w:val="ListBullet"/>
      </w:pPr>
      <w:r>
        <w:rPr>
          <w:b/>
        </w:rPr>
        <w:t>Tiền sử gia đình:</w:t>
      </w:r>
      <w:r>
        <w:t xml:space="preserve"> Cha hoặc mẹ từng bị gãy cổ xương đùi hay gãy đốt sống.</w:t>
      </w:r>
    </w:p>
    <w:p>
      <w:pPr>
        <w:pStyle w:val="ListBullet"/>
      </w:pPr>
      <w:r>
        <w:rPr>
          <w:b/>
        </w:rPr>
        <w:t>Tiền sử dùng thuốc:</w:t>
      </w:r>
      <w:r>
        <w:t xml:space="preserve"> Đặc biệt là Glucocorticoid (liều lượng, thời gian dùng), thuốc ức chế aromatase, thuốc chống co giật, thuốc ức chế bơm proton (PPI) kéo dài.</w:t>
      </w:r>
    </w:p>
    <w:p>
      <w:pPr>
        <w:pStyle w:val="ListBullet"/>
      </w:pPr>
      <w:r>
        <w:rPr>
          <w:b/>
        </w:rPr>
        <w:t>Lối sống &amp; Dinh dưỡng:</w:t>
      </w:r>
      <w:r>
        <w:t xml:space="preserve"> Tiền sử hút thuốc lá, uống rượu bia quá mức, mức độ vận động thể lực, thói quen ăn uống thiếu calcium.</w:t>
      </w:r>
    </w:p>
    <w:p>
      <w:pPr>
        <w:pStyle w:val="ListBullet"/>
      </w:pPr>
      <w:r>
        <w:rPr>
          <w:b/>
        </w:rPr>
        <w:t>Tầm soát nguy cơ té ngã:</w:t>
      </w:r>
      <w:r>
        <w:t xml:space="preserve"> Tiền sử té ngã trong 12 tháng qua, giảm thị lực, bệnh lý thần kinh cơ, dùng thuốc an thần/hạ huyết áp.</w:t>
      </w:r>
    </w:p>
    <w:p>
      <w:pPr>
        <w:pStyle w:val="ListBullet"/>
      </w:pPr>
      <w:r>
        <w:rPr>
          <w:b/>
        </w:rPr>
        <w:t>Khám thực thể:</w:t>
      </w:r>
      <w:r>
        <w:t xml:space="preserve"> Đo chiều cao (so sánh với chiều cao thời trẻ, giảm &gt; 4 cm hoặc giảm &gt; 2 cm so với lần đo gần nhất gợi ý gãy xẹp đốt sống), đo cân nặng (BMI &lt; 19 kg/m² là yếu tố nguy cơ cao), kiểm tra độ gù cột sống (kyphosis).</w:t>
      </w:r>
    </w:p>
    <w:p>
      <w:pPr>
        <w:pStyle w:val="Heading2"/>
      </w:pPr>
      <w:r>
        <w:t>3.2 Tầm soát (Screening) và Tìm kiếm ca bệnh (Case Finding)</w:t>
      </w:r>
    </w:p>
    <w:p>
      <w:r>
        <w:t>Cần phân biệt rõ hai chiến lược lâm sàng theo khuyến cáo USPSTF 2025 (PMID: 39808425) [ABSTRACT VERIFIED]:</w:t>
      </w:r>
    </w:p>
    <w:p>
      <w:pPr>
        <w:pStyle w:val="ListNumber"/>
      </w:pPr>
      <w:r>
        <w:rPr>
          <w:b/>
        </w:rPr>
        <w:t>Tầm soát cộng đồng (Population Screening):</w:t>
      </w:r>
    </w:p>
    <w:p>
      <w:pPr>
        <w:pStyle w:val="ListBullet"/>
      </w:pPr>
      <w:r>
        <w:rPr>
          <w:b/>
        </w:rPr>
        <w:t>Đối tượng:</w:t>
      </w:r>
      <w:r>
        <w:t xml:space="preserve"> Áp dụng cho người trưởng thành không có tiền sử gãy xương do lực thấp, không có chẩn đoán loãng xương trước đó và không dùng các thuốc gây mất xương kéo dài.</w:t>
      </w:r>
    </w:p>
    <w:p>
      <w:pPr>
        <w:pStyle w:val="ListBullet"/>
      </w:pPr>
      <w:r>
        <w:rPr>
          <w:b/>
        </w:rPr>
        <w:t>Khuyến cáo USPSTF 2025:</w:t>
      </w:r>
    </w:p>
    <w:p>
      <w:pPr>
        <w:pStyle w:val="ListBullet"/>
      </w:pPr>
      <w:r>
        <w:t xml:space="preserve">Tầm soát bằng đo DXA trung tâm cho </w:t>
      </w:r>
      <w:r>
        <w:rPr>
          <w:b/>
        </w:rPr>
        <w:t>tất cả phụ nữ từ 65 tuổi trở lên</w:t>
      </w:r>
      <w:r>
        <w:t>.</w:t>
      </w:r>
    </w:p>
    <w:p>
      <w:pPr>
        <w:pStyle w:val="ListBullet"/>
      </w:pPr>
      <w:r>
        <w:t>Đối với phụ nữ sau mãn kinh dưới 65 tuổi: Cần đánh giá các yếu tố nguy cơ lâm sàng trước (bằng các công cụ sàng lọc nguy cơ như OST, FRAX), nếu nguy cơ tăng cao mới chỉ định đo DXA trung tâm.</w:t>
      </w:r>
    </w:p>
    <w:p>
      <w:pPr>
        <w:pStyle w:val="ListBullet"/>
      </w:pPr>
      <w:r>
        <w:t>Nam giới: Bằng chứng hiện tại chưa đủ để khuyến cáo tầm soát hàng loạt ở nam giới không có triệu chứng.</w:t>
      </w:r>
    </w:p>
    <w:p>
      <w:pPr>
        <w:pStyle w:val="ListNumber"/>
      </w:pPr>
      <w:r>
        <w:rPr>
          <w:b/>
        </w:rPr>
        <w:t>Tìm kiếm ca bệnh (Case Finding):</w:t>
      </w:r>
    </w:p>
    <w:p>
      <w:pPr>
        <w:pStyle w:val="ListBullet"/>
      </w:pPr>
      <w:r>
        <w:t>Áp dụng cho bất kỳ bệnh nhân nào xuất hiện gãy xương do lực thấp hoặc có các yếu tố nguy cơ cao (dùng glucocorticoid, suy sinh dục, bệnh nội tiết). Những bệnh nhân này cần được đánh giá ngay nguy cơ gãy xương và chỉ định đo DXA để phân tầng điều trị, không thuộc phạm vi tầm soát cộng đồng thông thường.</w:t>
      </w:r>
    </w:p>
    <w:p>
      <w:pPr>
        <w:pStyle w:val="Heading2"/>
      </w:pPr>
      <w:r>
        <w:t>3.3 Đọc và Phiên giải kết quả đo DXA (Dual-energy X-ray Absorptiometry)</w:t>
      </w:r>
    </w:p>
    <w:p>
      <w:r>
        <w:t xml:space="preserve">DXA là tiêu chuẩn vàng để đo mật độ khoáng xương (BMD, đơn vị g/cm²). Hai vị trí đo trung tâm tiêu chuẩn là </w:t>
      </w:r>
      <w:r>
        <w:rPr>
          <w:b/>
        </w:rPr>
        <w:t>Cổ xương đùi / Toàn bộ xương hông (Femoral neck / Total hip)</w:t>
      </w:r>
      <w:r>
        <w:t xml:space="preserve"> và </w:t>
      </w:r>
      <w:r>
        <w:rPr>
          <w:b/>
        </w:rPr>
        <w:t>Cột sống thắt lưng (PA Lumbar spine, L1-L4)</w:t>
      </w:r>
      <w:r>
        <w:t xml:space="preserve"> (ISCD 2023) [GUIDELINE VERIFIED].</w:t>
      </w:r>
    </w:p>
    <w:p>
      <w:pPr>
        <w:ind w:left="567"/>
      </w:pPr>
      <w:r>
        <w:rPr>
          <w:i/>
        </w:rPr>
        <w:t xml:space="preserve">📘 </w:t>
      </w:r>
      <w:r>
        <w:rPr>
          <w:b/>
          <w:i/>
        </w:rPr>
        <w:t>DXA là gì?</w:t>
      </w:r>
      <w:r>
        <w:rPr>
          <w:i/>
        </w:rPr>
        <w:t xml:space="preserve"> — DXA (dual-energy X-ray absorptiometry) là kỹ thuật chụp X-quang liều chiếu xạ rất thấp dùng hai mức năng lượng photon khác nhau để đo chính xác lượng khoáng chất trong xương. Bệnh nhân nằm yên trên bàn quét trong 5-10 phút, không gây đau, không xâm lấn. Máy tính sẽ so sánh mật độ khoáng xương (BMD) đo được với các quần thể chuẩn để tính ra chỉ số T-score và Z-score.</w:t>
      </w:r>
    </w:p>
    <w:p>
      <w:r>
        <w:t>&gt;</w:t>
      </w:r>
    </w:p>
    <w:p>
      <w:pPr>
        <w:ind w:left="567"/>
      </w:pPr>
      <w:r>
        <w:rPr>
          <w:i/>
        </w:rPr>
        <w:t xml:space="preserve">📘 </w:t>
      </w:r>
      <w:r>
        <w:rPr>
          <w:b/>
          <w:i/>
        </w:rPr>
        <w:t>T-score là gì và áp dụng cho ai?</w:t>
      </w:r>
      <w:r>
        <w:rPr>
          <w:i/>
        </w:rPr>
        <w:t xml:space="preserve"> — T-score được tính theo công thức:</w:t>
      </w:r>
    </w:p>
    <w:p>
      <w:pPr>
        <w:ind w:left="567"/>
      </w:pPr>
      <w:r>
        <w:rPr>
          <w:i/>
        </w:rPr>
        <w:t>$$\text{T-score} = \frac{\text{BMD bệnh nhân} - \text{BMD trung bình người trẻ khỏe mạnh (20-30 tuổi)}}{\text{Độ lệch chuẩn (SD) của quần thể người trẻ}}$$</w:t>
      </w:r>
    </w:p>
    <w:p>
      <w:r>
        <w:t xml:space="preserve">&gt; </w:t>
      </w:r>
    </w:p>
    <w:p>
      <w:pPr>
        <w:ind w:left="567"/>
      </w:pPr>
      <w:r>
        <w:rPr>
          <w:b/>
          <w:i/>
        </w:rPr>
        <w:t>Phân loại của WHO dựa trên T-score (Chỉ áp dụng cho Phụ nữ sau mãn kinh và Nam giới từ 50 tuổi trở lên):</w:t>
      </w:r>
    </w:p>
    <w:p>
      <w:pPr>
        <w:ind w:left="567"/>
      </w:pPr>
      <w:r>
        <w:rPr>
          <w:i/>
        </w:rPr>
        <w:t xml:space="preserve">- </w:t>
      </w:r>
      <w:r>
        <w:rPr>
          <w:b/>
          <w:i/>
        </w:rPr>
        <w:t>Mật độ xương bình thường (Normal):</w:t>
      </w:r>
      <w:r>
        <w:rPr>
          <w:i/>
        </w:rPr>
        <w:t xml:space="preserve"> $\text{T-score} \ge -1.0$</w:t>
      </w:r>
    </w:p>
    <w:p>
      <w:pPr>
        <w:ind w:left="567"/>
      </w:pPr>
      <w:r>
        <w:rPr>
          <w:i/>
        </w:rPr>
        <w:t xml:space="preserve">- </w:t>
      </w:r>
      <w:r>
        <w:rPr>
          <w:b/>
          <w:i/>
        </w:rPr>
        <w:t>Giảm mật độ xương (Osteopenia):</w:t>
      </w:r>
      <w:r>
        <w:rPr>
          <w:i/>
        </w:rPr>
        <w:t xml:space="preserve"> $-2.5 &lt; \text{T-score} &lt; -1.0$</w:t>
      </w:r>
    </w:p>
    <w:p>
      <w:pPr>
        <w:ind w:left="567"/>
      </w:pPr>
      <w:r>
        <w:rPr>
          <w:i/>
        </w:rPr>
        <w:t xml:space="preserve">- </w:t>
      </w:r>
      <w:r>
        <w:rPr>
          <w:b/>
          <w:i/>
        </w:rPr>
        <w:t>Loãng xương (Osteoporosis):</w:t>
      </w:r>
      <w:r>
        <w:rPr>
          <w:i/>
        </w:rPr>
        <w:t xml:space="preserve"> $\text{T-score} \le -2.5$</w:t>
      </w:r>
    </w:p>
    <w:p>
      <w:pPr>
        <w:ind w:left="567"/>
      </w:pPr>
      <w:r>
        <w:rPr>
          <w:i/>
        </w:rPr>
        <w:t xml:space="preserve">- </w:t>
      </w:r>
      <w:r>
        <w:rPr>
          <w:b/>
          <w:i/>
        </w:rPr>
        <w:t>Loãng xương nặng (Severe/Established Osteoporosis):</w:t>
      </w:r>
      <w:r>
        <w:rPr>
          <w:i/>
        </w:rPr>
        <w:t xml:space="preserve"> $\text{T-score} \le -2.5$ kèm theo tiền sử có ít nhất 1 biến cố gãy xương do lực thấp.</w:t>
      </w:r>
    </w:p>
    <w:p>
      <w:r>
        <w:t>&gt;</w:t>
      </w:r>
    </w:p>
    <w:p>
      <w:pPr>
        <w:ind w:left="567"/>
      </w:pPr>
      <w:r>
        <w:rPr>
          <w:i/>
        </w:rPr>
        <w:t xml:space="preserve">📘 </w:t>
      </w:r>
      <w:r>
        <w:rPr>
          <w:b/>
          <w:i/>
        </w:rPr>
        <w:t>Z-score là gì và áp dụng cho ai?</w:t>
      </w:r>
      <w:r>
        <w:rPr>
          <w:i/>
        </w:rPr>
        <w:t xml:space="preserve"> — Z-score được tính theo công thức:</w:t>
      </w:r>
    </w:p>
    <w:p>
      <w:pPr>
        <w:ind w:left="567"/>
      </w:pPr>
      <w:r>
        <w:rPr>
          <w:i/>
        </w:rPr>
        <w:t>$$\text{Z-score} = \frac{\text{BMD bệnh nhân} - \text{BMD trung bình của người cùng Tuổi, Giới tính và Chủng tộc}}{\text{Độ lệch chuẩn (SD) của quần thể cùng lứa tuổi}}$$</w:t>
      </w:r>
    </w:p>
    <w:p>
      <w:r>
        <w:t xml:space="preserve">&gt; </w:t>
      </w:r>
    </w:p>
    <w:p>
      <w:pPr>
        <w:ind w:left="567"/>
      </w:pPr>
      <w:r>
        <w:rPr>
          <w:b/>
          <w:i/>
        </w:rPr>
        <w:t>Phân loại dựa trên Z-score (Bắt buộc áp dụng cho Phụ nữ trước mãn kinh và Nam giới dưới 50 tuổi):</w:t>
      </w:r>
    </w:p>
    <w:p>
      <w:pPr>
        <w:ind w:left="567"/>
      </w:pPr>
      <w:r>
        <w:rPr>
          <w:i/>
        </w:rPr>
        <w:t xml:space="preserve">- </w:t>
      </w:r>
      <w:r>
        <w:rPr>
          <w:b/>
          <w:i/>
        </w:rPr>
        <w:t>$\text{Z-score} &gt; -2.0$:</w:t>
      </w:r>
      <w:r>
        <w:rPr>
          <w:i/>
        </w:rPr>
        <w:t xml:space="preserve"> Nằm trong khoảng mong đợi theo lứa tuổi (Within the expected range for age).</w:t>
      </w:r>
    </w:p>
    <w:p>
      <w:pPr>
        <w:ind w:left="567"/>
      </w:pPr>
      <w:r>
        <w:rPr>
          <w:i/>
        </w:rPr>
        <w:t xml:space="preserve">- </w:t>
      </w:r>
      <w:r>
        <w:rPr>
          <w:b/>
          <w:i/>
        </w:rPr>
        <w:t>$\text{Z-score} \le -2.0$:</w:t>
      </w:r>
      <w:r>
        <w:rPr>
          <w:i/>
        </w:rPr>
        <w:t xml:space="preserve"> Dưới khoảng mong đợi theo lứa tuổi (Below the expected range for age). Khi $\text{Z-score} \le -2.0$, </w:t>
      </w:r>
      <w:r>
        <w:rPr>
          <w:b/>
          <w:i/>
        </w:rPr>
        <w:t>không được chẩn đoán loãng xương chỉ dựa vào BMD</w:t>
      </w:r>
      <w:r>
        <w:rPr>
          <w:i/>
        </w:rPr>
        <w:t>, mà bắt buộc phải tiến hành tầm soát tìm kiếm các nguyên nhân gây loãng xương thứ phát (PMID: 40921943) [GUIDELINE VERIFIED].</w:t>
      </w:r>
    </w:p>
    <w:p>
      <w:pPr>
        <w:pStyle w:val="Heading2"/>
      </w:pPr>
      <w:r>
        <w:t>3.4 Thang điểm FRAX (Fracture Risk Assessment Tool)</w:t>
      </w:r>
    </w:p>
    <w:p>
      <w:r>
        <w:t>FRAX là một thuật toán điện tử được phát triển bởi WHO để tính toán xác suất xảy ra biến cố gãy xương trong vòng 10 năm tiếp theo ở một cá thể từ 40 đến 90 tuổi.</w:t>
      </w:r>
    </w:p>
    <w:p>
      <w:pPr>
        <w:pStyle w:val="ListBullet"/>
      </w:pPr>
      <w:r>
        <w:rPr>
          <w:b/>
        </w:rPr>
        <w:t>Đầu vào của FRAX:</w:t>
      </w:r>
      <w:r>
        <w:t xml:space="preserve"> Tuổi, Giới tính, Cân nặng, Chiều cao, Tiền sử gãy xương bản thân, Tiền sử gãy hông của cha/mẹ, Hút thuốc lá hiện tại, Dùng glucocorticoid đường uống, Viêm khớp dạng thấp, Nguyên nhân loãng xương thứ phát, Uống rượu $\ge 3$ đơn vị/ngày, và có/không có BMD cổ xương đùi (Femoral neck BMD).</w:t>
      </w:r>
    </w:p>
    <w:p>
      <w:pPr>
        <w:pStyle w:val="ListBullet"/>
      </w:pPr>
      <w:r>
        <w:rPr>
          <w:b/>
        </w:rPr>
        <w:t>Đầu ra của FRAX:</w:t>
      </w:r>
    </w:p>
    <w:p>
      <w:pPr>
        <w:pStyle w:val="ListNumber"/>
      </w:pPr>
      <w:r>
        <w:t>Xác suất gãy xương do loãng xương chính trong 10 năm (10-year probability of Major Osteoporotic Fracture — bao gồm lâm sàng đốt sống, cẳng tay, hông, hoặc cánh tay).</w:t>
      </w:r>
    </w:p>
    <w:p>
      <w:pPr>
        <w:pStyle w:val="ListNumber"/>
      </w:pPr>
      <w:r>
        <w:t>Xác suất gãy cổ xương đùi trong 10 năm (10-year probability of Hip Fracture).</w:t>
      </w:r>
    </w:p>
    <w:p>
      <w:pPr>
        <w:pStyle w:val="ListBullet"/>
      </w:pPr>
      <w:r>
        <w:rPr>
          <w:b/>
        </w:rPr>
        <w:t>Lưu ý thực hành quan trọng khi dùng FRAX:</w:t>
      </w:r>
    </w:p>
    <w:p>
      <w:pPr>
        <w:pStyle w:val="ListBullet"/>
      </w:pPr>
      <w:r>
        <w:t>FRAX có thể tính toán ngay cả khi chưa có kết quả đo DXA, rất hữu ích cho việc tìm kiếm ca bệnh tại tuyến cơ sở.</w:t>
      </w:r>
    </w:p>
    <w:p>
      <w:pPr>
        <w:pStyle w:val="ListBullet"/>
      </w:pPr>
      <w:r>
        <w:t xml:space="preserve">Bắt buộc phải chọn đúng </w:t>
      </w:r>
      <w:r>
        <w:rPr>
          <w:b/>
        </w:rPr>
        <w:t>Model FRAX quốc gia</w:t>
      </w:r>
      <w:r>
        <w:t xml:space="preserve"> phù hợp với chủng tộc/quốc gia của bệnh nhân. Không tự ý sử dụng điều kiện ngưỡng điều trị của UK (NOGG) để áp đặt trực tiếp thành ngưỡng điều trị tại Việt Nam.</w:t>
      </w:r>
    </w:p>
    <w:p>
      <w:pPr>
        <w:pStyle w:val="ListBullet"/>
      </w:pPr>
      <w:r>
        <w:t>FRAX chưa đưa vào thuật toán tiền sử té ngã nhiều lần, liều tích lũy của glucocorticoid, hoặc tổn thương bè xương (TBS). Do đó, bác sĩ cần dùng tư duy lâm sàng để điều chỉnh quyết định nếu bệnh nhân có nguy cơ thực tế cao hơn điểm FRAX tính toán.</w:t>
      </w:r>
    </w:p>
    <w:p>
      <w:pPr>
        <w:pStyle w:val="Heading2"/>
      </w:pPr>
      <w:r>
        <w:t>3.5 Bilan xét nghiệm tầm soát Nguyên nhân Thứ phát</w:t>
      </w:r>
    </w:p>
    <w:p>
      <w:r>
        <w:t>Tất cả bệnh nhân được chẩn đoán loãng xương hoặc có Z-score $\le -2.0$ cần được làm các xét nghiệm cận lâm sàng cơ bản nhằm loại trừ nguyên nhân thứ phát và bảo đảm an toàn trước điều trị:</w:t>
      </w:r>
    </w:p>
    <w:p>
      <w:pPr>
        <w:pStyle w:val="ListNumber"/>
      </w:pPr>
      <w:r>
        <w:rPr>
          <w:b/>
        </w:rPr>
        <w:t>Bilan khoáng chất &amp; chức năng thận:</w:t>
      </w:r>
      <w:r>
        <w:t xml:space="preserve"> Calcium toàn phần, Calcium ion hóa, Phosphat máu, Creatinine máu và tính eGFR (để phát hiện CKD).</w:t>
      </w:r>
    </w:p>
    <w:p>
      <w:pPr>
        <w:pStyle w:val="ListNumber"/>
      </w:pPr>
      <w:r>
        <w:rPr>
          <w:b/>
        </w:rPr>
        <w:t>Đánh giá thiếu hụt Vitamin D &amp; Cường cận giáp:</w:t>
      </w:r>
      <w:r>
        <w:t xml:space="preserve"> 25(OH)D máu, PTH máu (đặc biệt khi có tăng calcium máu hoặc suy thận).</w:t>
      </w:r>
    </w:p>
    <w:p>
      <w:pPr>
        <w:pStyle w:val="ListNumber"/>
      </w:pPr>
      <w:r>
        <w:rPr>
          <w:b/>
        </w:rPr>
        <w:t>Công thức máu toàn phần (CBC), Tốc độ lắng máu (ESR):</w:t>
      </w:r>
      <w:r>
        <w:t xml:space="preserve"> Tầm soát bệnh lý ác tính, viêm hệ thống.</w:t>
      </w:r>
    </w:p>
    <w:p>
      <w:pPr>
        <w:pStyle w:val="ListNumber"/>
      </w:pPr>
      <w:r>
        <w:rPr>
          <w:b/>
        </w:rPr>
        <w:t>Men gan (AST, ALT, ALP):</w:t>
      </w:r>
      <w:r>
        <w:t xml:space="preserve"> Đánh giá chức năng gan và phosphatase kiềm.</w:t>
      </w:r>
    </w:p>
    <w:p>
      <w:pPr>
        <w:pStyle w:val="ListNumber"/>
      </w:pPr>
      <w:r>
        <w:rPr>
          <w:b/>
        </w:rPr>
        <w:t>Xét nghiệm chuyên sâu khi có gợi ý lâm sàng:</w:t>
      </w:r>
    </w:p>
    <w:p>
      <w:pPr>
        <w:pStyle w:val="ListBullet"/>
      </w:pPr>
      <w:r>
        <w:t>Khi nghi ngờ Đa u tủy xương (Myeloma): Điện di đạm huyết thanh (SPEP), điện di đạm nước tiểu 24h (UPEP), định lượng chuỗi nhẹ tự do huyết thanh (Serum free light chain).</w:t>
      </w:r>
    </w:p>
    <w:p>
      <w:pPr>
        <w:pStyle w:val="ListBullet"/>
      </w:pPr>
      <w:r>
        <w:t>Khi nghi ngờ Bệnh Celiac / Kém hấp thu: Kháng thể anti-tTG IgA.</w:t>
      </w:r>
    </w:p>
    <w:p>
      <w:pPr>
        <w:pStyle w:val="ListBullet"/>
      </w:pPr>
      <w:r>
        <w:t>Khi nghi ngờ Hội chứng Cushing: Test ức chế Dexamethasone liều thấp 1 mg qua đêm.</w:t>
      </w:r>
    </w:p>
    <w:p>
      <w:pPr>
        <w:pStyle w:val="Heading2"/>
      </w:pPr>
      <w:r>
        <w:t>3.6 Chẩn đoán Phân biệt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Bệnh lý</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Điểm giống Loãng xương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Điểm khác biệt quyết định chẩn đoán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Chứng mềm xương (Osteomalacia)</w:t>
            </w:r>
          </w:p>
        </w:tc>
        <w:tc>
          <w:tcPr>
            <w:tcW w:type="dxa" w:w="2880"/>
            <w:tcBorders>
              <w:top w:val="single" w:sz="4" w:color="000000"/>
              <w:left w:val="single" w:sz="4" w:color="000000"/>
              <w:bottom w:val="single" w:sz="4" w:color="000000"/>
              <w:right w:val="single" w:sz="4" w:color="000000"/>
            </w:tcBorders>
          </w:tcPr>
          <w:p>
            <w:r/>
            <w:r>
              <w:t>Đau xương, giảm BMD trên DXA</w:t>
            </w:r>
          </w:p>
        </w:tc>
        <w:tc>
          <w:tcPr>
            <w:tcW w:type="dxa" w:w="2880"/>
            <w:tcBorders>
              <w:top w:val="single" w:sz="4" w:color="000000"/>
              <w:left w:val="single" w:sz="4" w:color="000000"/>
              <w:bottom w:val="single" w:sz="4" w:color="000000"/>
              <w:right w:val="single" w:sz="4" w:color="000000"/>
            </w:tcBorders>
          </w:tcPr>
          <w:p>
            <w:r/>
            <w:r>
              <w:t>Calcium/Phosphat máu giảm, ALP tăng cao, 25(OH)D giảm rất thấp, có đường rạn Looser trên X-quang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xương do Thận (CKD-MBD)</w:t>
            </w:r>
          </w:p>
        </w:tc>
        <w:tc>
          <w:tcPr>
            <w:tcW w:type="dxa" w:w="2880"/>
            <w:tcBorders>
              <w:top w:val="single" w:sz="4" w:color="000000"/>
              <w:left w:val="single" w:sz="4" w:color="000000"/>
              <w:bottom w:val="single" w:sz="4" w:color="000000"/>
              <w:right w:val="single" w:sz="4" w:color="000000"/>
            </w:tcBorders>
          </w:tcPr>
          <w:p>
            <w:r/>
            <w:r>
              <w:t>Gãy xương, T-score thấp</w:t>
            </w:r>
          </w:p>
        </w:tc>
        <w:tc>
          <w:tcPr>
            <w:tcW w:type="dxa" w:w="2880"/>
            <w:tcBorders>
              <w:top w:val="single" w:sz="4" w:color="000000"/>
              <w:left w:val="single" w:sz="4" w:color="000000"/>
              <w:bottom w:val="single" w:sz="4" w:color="000000"/>
              <w:right w:val="single" w:sz="4" w:color="000000"/>
            </w:tcBorders>
          </w:tcPr>
          <w:p>
            <w:r/>
            <w:r>
              <w:t>Bệnh thận mãn giai đoạn tiến triển (eGFR giảm nặng), PTH tăng rất cao, bất thường tích tụ Calcium-Phosphat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 u tủy xương (Multiple Myeloma)</w:t>
            </w:r>
          </w:p>
        </w:tc>
        <w:tc>
          <w:tcPr>
            <w:tcW w:type="dxa" w:w="2880"/>
            <w:tcBorders>
              <w:top w:val="single" w:sz="4" w:color="000000"/>
              <w:left w:val="single" w:sz="4" w:color="000000"/>
              <w:bottom w:val="single" w:sz="4" w:color="000000"/>
              <w:right w:val="single" w:sz="4" w:color="000000"/>
            </w:tcBorders>
          </w:tcPr>
          <w:p>
            <w:r/>
            <w:r>
              <w:t>Đau lưng, xẹp đốt sống, giảm BMD</w:t>
            </w:r>
          </w:p>
        </w:tc>
        <w:tc>
          <w:tcPr>
            <w:tcW w:type="dxa" w:w="2880"/>
            <w:tcBorders>
              <w:top w:val="single" w:sz="4" w:color="000000"/>
              <w:left w:val="single" w:sz="4" w:color="000000"/>
              <w:bottom w:val="single" w:sz="4" w:color="000000"/>
              <w:right w:val="single" w:sz="4" w:color="000000"/>
            </w:tcBorders>
          </w:tcPr>
          <w:p>
            <w:r/>
            <w:r>
              <w:t>Thiếu máu nặng, tăng calcium máu, suy thận tiến triển, đạm bất thường trên SPEP/UPEP, tổn thương khuyết xương hình đột lỗ (punched-out) trên X-quang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Ung thư di căn xương</w:t>
            </w:r>
          </w:p>
        </w:tc>
        <w:tc>
          <w:tcPr>
            <w:tcW w:type="dxa" w:w="2880"/>
            <w:tcBorders>
              <w:top w:val="single" w:sz="4" w:color="000000"/>
              <w:left w:val="single" w:sz="4" w:color="000000"/>
              <w:bottom w:val="single" w:sz="4" w:color="000000"/>
              <w:right w:val="single" w:sz="4" w:color="000000"/>
            </w:tcBorders>
          </w:tcPr>
          <w:p>
            <w:r/>
            <w:r>
              <w:t>Gãy xương do lực thấp, đau xương</w:t>
            </w:r>
          </w:p>
        </w:tc>
        <w:tc>
          <w:tcPr>
            <w:tcW w:type="dxa" w:w="2880"/>
            <w:tcBorders>
              <w:top w:val="single" w:sz="4" w:color="000000"/>
              <w:left w:val="single" w:sz="4" w:color="000000"/>
              <w:bottom w:val="single" w:sz="4" w:color="000000"/>
              <w:right w:val="single" w:sz="4" w:color="000000"/>
            </w:tcBorders>
          </w:tcPr>
          <w:p>
            <w:r/>
            <w:r>
              <w:t>Tiền sử ung thư nguyên phát (vú, tuyến tiền liệt, phổi), đau xương liên tục ban đêm, tổn thương hủy xương hoặc tạo xương trên hình ảnh học</w:t>
            </w:r>
          </w:p>
        </w:tc>
      </w:tr>
    </w:tbl>
    <w:p/>
    <w:p>
      <w:pPr>
        <w:pStyle w:val="Heading2"/>
      </w:pPr>
      <w:r>
        <w:t>🛑 DỪNG 1 PHÚT — TỰ KIỂM TRA</w:t>
      </w:r>
    </w:p>
    <w:p>
      <w:pPr>
        <w:ind w:left="567"/>
      </w:pPr>
      <w:r>
        <w:rPr>
          <w:i/>
        </w:rPr>
        <w:t>1. Khi một phụ nữ 42 tuổi đo DXA có kết quả Z-score tại cột sống thắt lưng là -2.3, kết luận chẩn đoán nào sau đây là đúng?</w:t>
      </w:r>
    </w:p>
    <w:p>
      <w:pPr>
        <w:ind w:left="567"/>
      </w:pPr>
      <w:r>
        <w:rPr>
          <w:i/>
        </w:rPr>
        <w:t xml:space="preserve">   - A. Loãng xương nặng.</w:t>
      </w:r>
    </w:p>
    <w:p>
      <w:pPr>
        <w:ind w:left="567"/>
      </w:pPr>
      <w:r>
        <w:rPr>
          <w:i/>
        </w:rPr>
        <w:t xml:space="preserve">   - B. Mật độ xương thấp hơn khoảng mong đợi theo lứa tuổi, cần tầm soát nguyên nhân thứ phát.</w:t>
      </w:r>
    </w:p>
    <w:p>
      <w:r>
        <w:t>&gt;</w:t>
      </w:r>
    </w:p>
    <w:p>
      <w:pPr>
        <w:ind w:left="567"/>
      </w:pPr>
      <w:r>
        <w:rPr>
          <w:i/>
        </w:rPr>
        <w:t>(Đáp án: B. Ở người trước mãn kinh, dùng Z-score và Z-score $\le -2.0$ là chỉ định tìm kiếm nguyên nhân thứ phát chứ không kết luận loãng xương đơn thuần.)</w:t>
      </w:r>
    </w:p>
    <w:p>
      <w:r>
        <w:t>&gt;</w:t>
      </w:r>
    </w:p>
    <w:p>
      <w:pPr>
        <w:ind w:left="567"/>
      </w:pPr>
      <w:r>
        <w:rPr>
          <w:i/>
        </w:rPr>
        <w:t>2. Công cụ FRAX có thể sử dụng khi cơ sở y tế chưa có máy đo DXA hay không?</w:t>
      </w:r>
    </w:p>
    <w:p>
      <w:r>
        <w:t>&gt;</w:t>
      </w:r>
    </w:p>
    <w:p>
      <w:pPr>
        <w:ind w:left="567"/>
      </w:pPr>
      <w:r>
        <w:rPr>
          <w:i/>
        </w:rPr>
        <w:t>(Đáp án: Có. FRAX cho phép tính toán xác suất gãy xương 10 năm bằng các yếu tố nguy cơ lâm sàng ngay cả khi không có chỉ số Femoral neck BMD.)</w:t>
      </w:r>
    </w:p>
    <w:p/>
    <w:p>
      <w:pPr>
        <w:pStyle w:val="Heading1"/>
      </w:pPr>
      <w:r>
        <w:t>4. EVIDENCE &amp; GUIDELINES [CỐT LÕI]</w:t>
      </w:r>
    </w:p>
    <w:p>
      <w:pPr>
        <w:pStyle w:val="Heading2"/>
      </w:pPr>
      <w:r>
        <w:t>4.1 Tóm tắt Khuyến cáo từ các Guideline Cập nhật</w:t>
      </w:r>
    </w:p>
    <w:p>
      <w:r>
        <w:t>Các hướng dẫn lâm sàng lớn trên thế giới đưa ra các nguyên tắc đồng thuận trong quản lý loãng xương:</w:t>
      </w:r>
    </w:p>
    <w:p>
      <w:pPr>
        <w:pStyle w:val="ListBullet"/>
      </w:pPr>
      <w:r>
        <w:rPr>
          <w:b/>
        </w:rPr>
        <w:t>NOGG 2024 (National Osteoporosis Guideline Group - UK):</w:t>
      </w:r>
      <w:r>
        <w:t xml:space="preserve"> Nhấn mạnh việc phân tầng nguy cơ gãy xương (Low, High, Very-High Risk) để lựa chọn chiến lược điều trị ban đầu. Bệnh nhân có nguy cơ rất cao (very-high risk) nên được cân nhắc khởi trị bằng thuốc tăng tạo xương (anabolic) hoặc thuốc tác động kép (dual-action) trước, sau đó nối tiếp bằng thuốc chống tiêu xương (antiresorptive). NOGG đưa ra cảnh báo bắt buộc về nguy cơ gãy đốt sống dội ngược khi tự ngưng Denosumab (PMID: 40921943) [GUIDELINE VERIFIED].</w:t>
      </w:r>
    </w:p>
    <w:p>
      <w:pPr>
        <w:pStyle w:val="ListBullet"/>
      </w:pPr>
      <w:r>
        <w:rPr>
          <w:b/>
        </w:rPr>
        <w:t>ISCD 2023 (International Society for Clinical Densitometry):</w:t>
      </w:r>
      <w:r>
        <w:t xml:space="preserve"> Quy định chuẩn hóa vị trí đo DXA (Femoral neck, Total hip, PA Lumbar spine L1-L4). Phân định rõ việc sử dụng T-score cho phụ nữ sau mãn kinh / nam $\ge 50$ tuổi và Z-score cho phụ nữ trước mãn kinh / nam &lt; 50 tuổi. Không dùng DXA để theo dõi đáp ứng điều trị ở khoảng cách quá ngắn (&lt; 1-2 năm) (ISCD 2023) [GUIDELINE VERIFIED].</w:t>
      </w:r>
    </w:p>
    <w:p>
      <w:pPr>
        <w:pStyle w:val="ListBullet"/>
      </w:pPr>
      <w:r>
        <w:rPr>
          <w:b/>
        </w:rPr>
        <w:t>USPSTF 2025 (US Preventive Services Task Force):</w:t>
      </w:r>
      <w:r>
        <w:t xml:space="preserve"> Khuyến cáo tầm soát loãng xương bằng central DXA cho tất cả phụ nữ $\ge 65$ tuổi và phụ nữ sau mãn kinh trẻ hơn có yếu tố nguy cơ lâm sàng. Chưa đủ bằng chứng tầm soát diện rộng cho nam giới (PMID: 39808425) [ABSTRACT VERIFIED].</w:t>
      </w:r>
    </w:p>
    <w:p>
      <w:pPr>
        <w:pStyle w:val="ListBullet"/>
      </w:pPr>
      <w:r>
        <w:rPr>
          <w:b/>
        </w:rPr>
        <w:t>Endocrine Society 2024:</w:t>
      </w:r>
      <w:r>
        <w:t xml:space="preserve"> Khuyên không xét nghiệm 25(OH)D máu diện rộng ở quần thể khỏe mạnh không có chỉ định lâm sàng đặc thù (PMID: 38828931) [ABSTRACT VERIFIED].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Guideline</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Năm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Phạm vi chính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Tag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NOGG</w:t>
            </w:r>
          </w:p>
        </w:tc>
        <w:tc>
          <w:tcPr>
            <w:tcW w:type="dxa" w:w="2160"/>
            <w:tcBorders>
              <w:top w:val="single" w:sz="4" w:color="000000"/>
              <w:left w:val="single" w:sz="4" w:color="000000"/>
              <w:bottom w:val="single" w:sz="4" w:color="000000"/>
              <w:right w:val="single" w:sz="4" w:color="000000"/>
            </w:tcBorders>
          </w:tcPr>
          <w:p>
            <w:r/>
            <w:r>
              <w:t>2024</w:t>
            </w:r>
          </w:p>
        </w:tc>
        <w:tc>
          <w:tcPr>
            <w:tcW w:type="dxa" w:w="2160"/>
            <w:tcBorders>
              <w:top w:val="single" w:sz="4" w:color="000000"/>
              <w:left w:val="single" w:sz="4" w:color="000000"/>
              <w:bottom w:val="single" w:sz="4" w:color="000000"/>
              <w:right w:val="single" w:sz="4" w:color="000000"/>
            </w:tcBorders>
          </w:tcPr>
          <w:p>
            <w:r/>
            <w:r>
              <w:t>Phân tầng nguy cơ, lựa chọn thuốc, sequence anabolic→antiresorptive, an toàn denosumab</w:t>
            </w:r>
          </w:p>
        </w:tc>
        <w:tc>
          <w:tcPr>
            <w:tcW w:type="dxa" w:w="2160"/>
            <w:tcBorders>
              <w:top w:val="single" w:sz="4" w:color="000000"/>
              <w:left w:val="single" w:sz="4" w:color="000000"/>
              <w:bottom w:val="single" w:sz="4" w:color="000000"/>
              <w:right w:val="single" w:sz="4" w:color="000000"/>
            </w:tcBorders>
          </w:tcPr>
          <w:p>
            <w:r/>
            <w:r>
              <w:t>[GUIDELINE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ISCD</w:t>
            </w:r>
          </w:p>
        </w:tc>
        <w:tc>
          <w:tcPr>
            <w:tcW w:type="dxa" w:w="2160"/>
            <w:tcBorders>
              <w:top w:val="single" w:sz="4" w:color="000000"/>
              <w:left w:val="single" w:sz="4" w:color="000000"/>
              <w:bottom w:val="single" w:sz="4" w:color="000000"/>
              <w:right w:val="single" w:sz="4" w:color="000000"/>
            </w:tcBorders>
          </w:tcPr>
          <w:p>
            <w:r/>
            <w:r>
              <w:t>2023</w:t>
            </w:r>
          </w:p>
        </w:tc>
        <w:tc>
          <w:tcPr>
            <w:tcW w:type="dxa" w:w="2160"/>
            <w:tcBorders>
              <w:top w:val="single" w:sz="4" w:color="000000"/>
              <w:left w:val="single" w:sz="4" w:color="000000"/>
              <w:bottom w:val="single" w:sz="4" w:color="000000"/>
              <w:right w:val="single" w:sz="4" w:color="000000"/>
            </w:tcBorders>
          </w:tcPr>
          <w:p>
            <w:r/>
            <w:r>
              <w:t>Chuẩn hóa DXA: vị trí đo, T-score vs Z-score, interval theo dõi</w:t>
            </w:r>
          </w:p>
        </w:tc>
        <w:tc>
          <w:tcPr>
            <w:tcW w:type="dxa" w:w="2160"/>
            <w:tcBorders>
              <w:top w:val="single" w:sz="4" w:color="000000"/>
              <w:left w:val="single" w:sz="4" w:color="000000"/>
              <w:bottom w:val="single" w:sz="4" w:color="000000"/>
              <w:right w:val="single" w:sz="4" w:color="000000"/>
            </w:tcBorders>
          </w:tcPr>
          <w:p>
            <w:r/>
            <w:r>
              <w:t>[GUIDELINE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USPSTF</w:t>
            </w:r>
          </w:p>
        </w:tc>
        <w:tc>
          <w:tcPr>
            <w:tcW w:type="dxa" w:w="2160"/>
            <w:tcBorders>
              <w:top w:val="single" w:sz="4" w:color="000000"/>
              <w:left w:val="single" w:sz="4" w:color="000000"/>
              <w:bottom w:val="single" w:sz="4" w:color="000000"/>
              <w:right w:val="single" w:sz="4" w:color="000000"/>
            </w:tcBorders>
          </w:tcPr>
          <w:p>
            <w:r/>
            <w:r>
              <w:t>2025</w:t>
            </w:r>
          </w:p>
        </w:tc>
        <w:tc>
          <w:tcPr>
            <w:tcW w:type="dxa" w:w="2160"/>
            <w:tcBorders>
              <w:top w:val="single" w:sz="4" w:color="000000"/>
              <w:left w:val="single" w:sz="4" w:color="000000"/>
              <w:bottom w:val="single" w:sz="4" w:color="000000"/>
              <w:right w:val="single" w:sz="4" w:color="000000"/>
            </w:tcBorders>
          </w:tcPr>
          <w:p>
            <w:r/>
            <w:r>
              <w:t>Tầm soát phụ nữ ≥65t bằng central DXA; phụ nữ trẻ hơn cần risk factors trước</w:t>
            </w:r>
          </w:p>
        </w:tc>
        <w:tc>
          <w:tcPr>
            <w:tcW w:type="dxa" w:w="2160"/>
            <w:tcBorders>
              <w:top w:val="single" w:sz="4" w:color="000000"/>
              <w:left w:val="single" w:sz="4" w:color="000000"/>
              <w:bottom w:val="single" w:sz="4" w:color="000000"/>
              <w:right w:val="single" w:sz="4" w:color="000000"/>
            </w:tcBorders>
          </w:tcPr>
          <w:p>
            <w:r/>
            <w:r>
              <w:t>[GUIDELINE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Endocrine Society</w:t>
            </w:r>
          </w:p>
        </w:tc>
        <w:tc>
          <w:tcPr>
            <w:tcW w:type="dxa" w:w="2160"/>
            <w:tcBorders>
              <w:top w:val="single" w:sz="4" w:color="000000"/>
              <w:left w:val="single" w:sz="4" w:color="000000"/>
              <w:bottom w:val="single" w:sz="4" w:color="000000"/>
              <w:right w:val="single" w:sz="4" w:color="000000"/>
            </w:tcBorders>
          </w:tcPr>
          <w:p>
            <w:r/>
            <w:r>
              <w:t>2024</w:t>
            </w:r>
          </w:p>
        </w:tc>
        <w:tc>
          <w:tcPr>
            <w:tcW w:type="dxa" w:w="2160"/>
            <w:tcBorders>
              <w:top w:val="single" w:sz="4" w:color="000000"/>
              <w:left w:val="single" w:sz="4" w:color="000000"/>
              <w:bottom w:val="single" w:sz="4" w:color="000000"/>
              <w:right w:val="single" w:sz="4" w:color="000000"/>
            </w:tcBorders>
          </w:tcPr>
          <w:p>
            <w:r/>
            <w:r>
              <w:t>Không xét nghiệm 25(OH)D thường quy ở người không có chỉ định</w:t>
            </w:r>
          </w:p>
        </w:tc>
        <w:tc>
          <w:tcPr>
            <w:tcW w:type="dxa" w:w="2160"/>
            <w:tcBorders>
              <w:top w:val="single" w:sz="4" w:color="000000"/>
              <w:left w:val="single" w:sz="4" w:color="000000"/>
              <w:bottom w:val="single" w:sz="4" w:color="000000"/>
              <w:right w:val="single" w:sz="4" w:color="000000"/>
            </w:tcBorders>
          </w:tcPr>
          <w:p>
            <w:r/>
            <w:r>
              <w:t>[ABSTRACT VERIFIED]</w:t>
            </w:r>
          </w:p>
        </w:tc>
      </w:tr>
    </w:tbl>
    <w:p>
      <w:pPr>
        <w:pStyle w:val="Heading2"/>
      </w:pPr>
      <w:r>
        <w:t>4.2 Định hướng Kết quả từ các Thử nghiệm Lâm sàng Bản lề (Landmark RCTs)</w:t>
      </w:r>
    </w:p>
    <w:p>
      <w:r>
        <w:rPr>
          <w:i/>
        </w:rPr>
        <w:t>(Lưu ý: Các bằng chứng dưới đây chỉ trình bày định hướng hiệu quả lâm sàng, không sử dụng các số liệu hiệu số %, RR, CI hay cỡ mẫu cụ thể theo đúng yêu cầu bảo vệ dữ liệu).</w:t>
      </w:r>
    </w:p>
    <w:p>
      <w:pPr>
        <w:pStyle w:val="ListBullet"/>
      </w:pPr>
      <w:r>
        <w:rPr>
          <w:b/>
        </w:rPr>
        <w:t>FREEDOM RCT (PMID: 19671655) [ABSTRACT VERIFIED]:</w:t>
      </w:r>
      <w:r>
        <w:t xml:space="preserve"> Thử nghiệm ngẫu nhiên đối chứng cho thấy điều trị bằng Denosumab làm giảm đáng kể nguy cơ gãy đốt sống mới, gãy xương ngoài đốt sống và gãy cổ xương đùi ở phụ nữ loãng xương sau mãn kinh so với giả dược. Phân tích nhóm phụ của FREEDOM (PMID: 21411557) [ABSTRACT VERIFIED] xác nhận hiệu quả giảm gãy xương duy trì nhất quán ở các nhóm bệnh nhân nguy cơ cao. Tuy nhiên, theo dõi sau thử nghiệm cho thấy việc ngưng Denosumab mà không có thuốc nối tiếp dẫn đến sự gia tăng dội ngược nguy cơ gãy đốt sống.</w:t>
      </w:r>
    </w:p>
    <w:p>
      <w:pPr>
        <w:pStyle w:val="ListBullet"/>
      </w:pPr>
      <w:r>
        <w:rPr>
          <w:b/>
        </w:rPr>
        <w:t>HORIZON Pivotal Fracture Trial (PMID: 17476007) [ABSTRACT VERIFIED]:</w:t>
      </w:r>
      <w:r>
        <w:t xml:space="preserve"> Thử nghiệm lâm sàng chứng minh truyền tĩnh mạch Zoledronic acid định kỳ hàng năm làm giảm rõ rệt nguy cơ gãy đốt sống, gãy hông và các gãy xương lâm sàng khác ở phụ nữ loãng xương sau mãn kinh.</w:t>
      </w:r>
    </w:p>
    <w:p>
      <w:pPr>
        <w:pStyle w:val="ListBullet"/>
      </w:pPr>
      <w:r>
        <w:rPr>
          <w:b/>
        </w:rPr>
        <w:t>ARCH RCT (PMID: 28892457) [ABSTRACT VERIFIED]:</w:t>
      </w:r>
      <w:r>
        <w:t xml:space="preserve"> So sánh chiến lược dùng Romosozumab (thuốc kháng Sclerostin tác động kép) trong 12 tháng nối tiếp bằng Alendronate so với dùng Alendronate đơn thuần. Kết quả cho thấy chiến lược khởi trị bằng Romosozumab rồi nối tiếp bằng Alendronate giúp giảm nguy cơ gãy đốt sống và gãy xương lâm sàng ưu việt hơn so với chỉ dùng Alendronate đơn độc ở bệnh nhân loãng xương nguy cơ rất cao có gãy xương trước đó.</w:t>
      </w:r>
    </w:p>
    <w:p>
      <w:pPr>
        <w:pStyle w:val="ListBullet"/>
      </w:pPr>
      <w:r>
        <w:rPr>
          <w:b/>
        </w:rPr>
        <w:t>VERO RCT (PMID: 29129436) [ABSTRACT VERIFIED]:</w:t>
      </w:r>
      <w:r>
        <w:t xml:space="preserve"> So sánh trực tiếp giữa thuốc tăng tạo xương Teriparatide và thuốc chống tiêu xương Risedronate ở phụ nữ loãng xương nặng. Kết quả khẳng định Teriparatide làm giảm nguy cơ gãy đốt sống mới và gãy đốt sống lâm sàng vượt trội hơn so với Risedronate.</w:t>
      </w:r>
    </w:p>
    <w:p>
      <w:pPr>
        <w:pStyle w:val="ListBullet"/>
      </w:pPr>
      <w:r>
        <w:rPr>
          <w:b/>
        </w:rPr>
        <w:t>PTH(1-34) Landmark RCT (PMID: 11346808) [ABSTRACT VERIFIED]:</w:t>
      </w:r>
      <w:r>
        <w:t xml:space="preserve"> Thử nghiệm chứng minh Teriparatide [PTH(1-34)] kích thích tăng mật độ khoáng xương cột sống thắt lưng và giảm nguy cơ gãy đốt sống cũng như ngoài đốt sống ở phụ nữ sau mãn kinh.</w:t>
      </w:r>
    </w:p>
    <w:p>
      <w:pPr>
        <w:pStyle w:val="ListBullet"/>
      </w:pPr>
      <w:r>
        <w:rPr>
          <w:b/>
        </w:rPr>
        <w:t>Alendronate Landmark RCT (PMID: 7477143) [ABSTRACT VERIFIED]:</w:t>
      </w:r>
      <w:r>
        <w:t xml:space="preserve"> Khẳng định Alendronate đường uống làm tăng BMD rõ rệt và giảm nguy cơ gãy xương ở phụ nữ loãng xương sau mãn kinh.</w:t>
      </w:r>
    </w:p>
    <w:p>
      <w:pPr>
        <w:pStyle w:val="ListBullet"/>
      </w:pPr>
      <w:r>
        <w:rPr>
          <w:b/>
        </w:rPr>
        <w:t>FLEX RCT (PMID: 17190893) [ABSTRACT VERIFIED]:</w:t>
      </w:r>
      <w:r>
        <w:t xml:space="preserve"> Đánh giá hiệu quả của việc tiếp tục điều trị so với tạm dừng Alendronate (Drug Holiday) sau 5 năm sử dụng. Kết quả cho thấy việc tiếp tục điều trị giúp duy trì BMD và giảm nguy cơ gãy đốt sống lâm sàng ở nhóm nguy cơ cao, trong khi việc tạm ngưng ở nhóm nguy cơ thấp không làm gia tăng nguy cơ gãy hông.</w:t>
      </w:r>
    </w:p>
    <w:p/>
    <w:p>
      <w:pPr>
        <w:pStyle w:val="Heading1"/>
      </w:pPr>
      <w:r>
        <w:t>5. ĐIỀU TRỊ, QUẢN LÝ &amp; THEO DÕI [CỐT LÕI]</w:t>
      </w:r>
    </w:p>
    <w:p>
      <w:pPr>
        <w:pStyle w:val="Heading2"/>
      </w:pPr>
      <w:r>
        <w:t>5.1 Nền tảng Can thiệp không dùng thuốc cho Mọi Bệnh nhân</w:t>
      </w:r>
    </w:p>
    <w:p>
      <w:r>
        <w:t>Mọi chiến lược điều trị loãng xương, bất kể ở mức độ nguy cơ nào, đều bắt buộc phải dựa trên nền tảng can thiệp lối sống toàn diện (PMID: 35478046) [ABSTRACT VERIFIED]:</w:t>
      </w:r>
    </w:p>
    <w:p>
      <w:pPr>
        <w:pStyle w:val="ListNumber"/>
      </w:pPr>
      <w:r>
        <w:rPr>
          <w:b/>
        </w:rPr>
        <w:t>Dinh dưỡng &amp; Bổ sung Calcium:</w:t>
      </w:r>
      <w:r>
        <w:t xml:space="preserve"> Ưu tiên hàng đầu là cung cấp đủ Calcium qua chế độ ăn uống hằng ngày (sữa, sản phẩm từ sữa, rau xanh đậm, cá nhỏ ăn cả xương). Chỉ bổ sung thuốc Calcium khi chế độ ăn không cung cấp đủ nhu cầu.</w:t>
      </w:r>
    </w:p>
    <w:p>
      <w:pPr>
        <w:pStyle w:val="ListNumber"/>
      </w:pPr>
      <w:r>
        <w:rPr>
          <w:b/>
        </w:rPr>
        <w:t>Vitamin D:</w:t>
      </w:r>
      <w:r>
        <w:t xml:space="preserve"> Bảo đảm đủ nguồn Vitamin D (từ ánh nắng mặt trời hợp lý hoặc bổ sung đường uống) để duy trì sự hấp thu calcium tối ưu ở ruột.</w:t>
      </w:r>
    </w:p>
    <w:p>
      <w:pPr>
        <w:pStyle w:val="ListNumber"/>
      </w:pPr>
      <w:r>
        <w:rPr>
          <w:b/>
        </w:rPr>
        <w:t>Tập luyện thể lực chịu lực và kháng lực:</w:t>
      </w:r>
      <w:r>
        <w:t xml:space="preserve"> Đóng vai trò kích thích tế bào osteocyte tăng tạo xương. Các bài tập khuyến cáo bao gồm đi bộ nhanh, chạy bộ nhẹ, khiêu vũ, và các bài tập tạ nhẹ kháng lực phù hợp với lứa tuổi.</w:t>
      </w:r>
    </w:p>
    <w:p>
      <w:pPr>
        <w:pStyle w:val="ListNumber"/>
      </w:pPr>
      <w:r>
        <w:rPr>
          <w:b/>
        </w:rPr>
        <w:t>Thay đổi thói quen có hại:</w:t>
      </w:r>
      <w:r>
        <w:t xml:space="preserve"> Ngừng hoàn toàn hút thuốc lá; hạn chế uống rượu bia quá mức.</w:t>
      </w:r>
    </w:p>
    <w:p>
      <w:pPr>
        <w:pStyle w:val="ListNumber"/>
      </w:pPr>
      <w:r>
        <w:rPr>
          <w:b/>
        </w:rPr>
        <w:t>Đánh giá và Phòng ngừa Té ngã:</w:t>
      </w:r>
      <w:r>
        <w:t xml:space="preserve"> Sửa chữa thị lực, điều chỉnh các thuốc gây hạ huyết áp tư thế hoặc buồn ngủ, cải thiện ánh sáng trong nhà, lắp thanh bám trong nhà vệ sinh, bỏ các thảm trơn trượt.</w:t>
      </w:r>
    </w:p>
    <w:p>
      <w:pPr>
        <w:pStyle w:val="Heading2"/>
      </w:pPr>
      <w:r>
        <w:t>5.2 Phân tầng Nguy cơ và Định hướng Lựa chọn Thuốc</w:t>
      </w:r>
    </w:p>
    <w:p>
      <w:r>
        <w:t>Chiến lược điều trị hiện đại phân tầng bệnh nhân thành các nhóm nguy cơ để lựa chọn thuốc ban đầu (PMID: 40921943) [GUIDELINE VERIFIED]: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Nhóm nguy cơ</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 lâm sàng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Hướng điều trị</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Thấp (Low Risk)</w:t>
            </w:r>
          </w:p>
        </w:tc>
        <w:tc>
          <w:tcPr>
            <w:tcW w:type="dxa" w:w="2880"/>
            <w:tcBorders>
              <w:top w:val="single" w:sz="4" w:color="000000"/>
              <w:left w:val="single" w:sz="4" w:color="000000"/>
              <w:bottom w:val="single" w:sz="4" w:color="000000"/>
              <w:right w:val="single" w:sz="4" w:color="000000"/>
            </w:tcBorders>
          </w:tcPr>
          <w:p>
            <w:r/>
            <w:r>
              <w:t>Chưa gãy fragility, T-score &gt; −2.0, FRAX thấp</w:t>
            </w:r>
          </w:p>
        </w:tc>
        <w:tc>
          <w:tcPr>
            <w:tcW w:type="dxa" w:w="2880"/>
            <w:tcBorders>
              <w:top w:val="single" w:sz="4" w:color="000000"/>
              <w:left w:val="single" w:sz="4" w:color="000000"/>
              <w:bottom w:val="single" w:sz="4" w:color="000000"/>
              <w:right w:val="single" w:sz="4" w:color="000000"/>
            </w:tcBorders>
          </w:tcPr>
          <w:p>
            <w:r/>
            <w:r>
              <w:t>Can thiệp lối sống, calcium/vitamin D, tái đánh giá 2–3 năm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Cao (High Risk)</w:t>
            </w:r>
          </w:p>
        </w:tc>
        <w:tc>
          <w:tcPr>
            <w:tcW w:type="dxa" w:w="2880"/>
            <w:tcBorders>
              <w:top w:val="single" w:sz="4" w:color="000000"/>
              <w:left w:val="single" w:sz="4" w:color="000000"/>
              <w:bottom w:val="single" w:sz="4" w:color="000000"/>
              <w:right w:val="single" w:sz="4" w:color="000000"/>
            </w:tcBorders>
          </w:tcPr>
          <w:p>
            <w:r/>
            <w:r>
              <w:t>T-score ≤ −2.5 hoặc gãy fragility trước đó, FRAX vượt ngưỡng (PMID: 40921943)</w:t>
            </w:r>
          </w:p>
        </w:tc>
        <w:tc>
          <w:tcPr>
            <w:tcW w:type="dxa" w:w="2880"/>
            <w:tcBorders>
              <w:top w:val="single" w:sz="4" w:color="000000"/>
              <w:left w:val="single" w:sz="4" w:color="000000"/>
              <w:bottom w:val="single" w:sz="4" w:color="000000"/>
              <w:right w:val="single" w:sz="4" w:color="000000"/>
            </w:tcBorders>
          </w:tcPr>
          <w:p>
            <w:r/>
            <w:r>
              <w:t>Antiresorptive: bisphosphonate uống/IV hoặc denosumab</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Rất cao (Very-High Risk)</w:t>
            </w:r>
          </w:p>
        </w:tc>
        <w:tc>
          <w:tcPr>
            <w:tcW w:type="dxa" w:w="2880"/>
            <w:tcBorders>
              <w:top w:val="single" w:sz="4" w:color="000000"/>
              <w:left w:val="single" w:sz="4" w:color="000000"/>
              <w:bottom w:val="single" w:sz="4" w:color="000000"/>
              <w:right w:val="single" w:sz="4" w:color="000000"/>
            </w:tcBorders>
          </w:tcPr>
          <w:p>
            <w:r/>
            <w:r>
              <w:t>Gãy nhiều đốt sống, gãy hông gần đây, T-score ≤ −3.0, gãy khi đang dùng antiresorptive (PMID: 40921943)</w:t>
            </w:r>
          </w:p>
        </w:tc>
        <w:tc>
          <w:tcPr>
            <w:tcW w:type="dxa" w:w="2880"/>
            <w:tcBorders>
              <w:top w:val="single" w:sz="4" w:color="000000"/>
              <w:left w:val="single" w:sz="4" w:color="000000"/>
              <w:bottom w:val="single" w:sz="4" w:color="000000"/>
              <w:right w:val="single" w:sz="4" w:color="000000"/>
            </w:tcBorders>
          </w:tcPr>
          <w:p>
            <w:r/>
            <w:r>
              <w:t>Anabolic/dual-action (teriparatide/romosozumab) → bắt buộc nối antiresorptive</w:t>
            </w:r>
          </w:p>
        </w:tc>
      </w:tr>
    </w:tbl>
    <w:p>
      <w:pPr>
        <w:pStyle w:val="Heading2"/>
      </w:pPr>
      <w:r>
        <w:t>5.3 Phân loại và Đặc tính các Nhóm thuốc Chống Loãng xương</w:t>
      </w:r>
    </w:p>
    <w:p>
      <w:pPr>
        <w:pStyle w:val="ListNumber"/>
      </w:pPr>
      <w:r>
        <w:rPr>
          <w:b/>
        </w:rPr>
        <w:t>Nhóm Bisphosphonates:</w:t>
      </w:r>
    </w:p>
    <w:p>
      <w:pPr>
        <w:pStyle w:val="ListBullet"/>
      </w:pPr>
      <w:r>
        <w:rPr>
          <w:i/>
        </w:rPr>
        <w:t>Cơ chế:</w:t>
      </w:r>
      <w:r>
        <w:t xml:space="preserve"> Gắn mạnh vào tinh thể hydroxyapatite tại bề mặt xương. Khi osteoclast tiêu xương sẽ thực bào bisphosphonate, làm ức chế enzym farnesyl pyrophosphate synthase, dẫn đến sự suy yếu và apoptosis của osteoclast.</w:t>
      </w:r>
    </w:p>
    <w:p>
      <w:pPr>
        <w:pStyle w:val="ListBullet"/>
      </w:pPr>
      <w:r>
        <w:rPr>
          <w:i/>
        </w:rPr>
        <w:t>Các thuốc:</w:t>
      </w:r>
      <w:r>
        <w:t xml:space="preserve"> Alendronate (uống), Risedronate (uống), Zoledronic acid (truyền tĩnh mạch).</w:t>
      </w:r>
    </w:p>
    <w:p>
      <w:pPr>
        <w:pStyle w:val="ListBullet"/>
      </w:pPr>
      <w:r>
        <w:rPr>
          <w:i/>
        </w:rPr>
        <w:t>Lưu ý an toàn đường uống:</w:t>
      </w:r>
      <w:r>
        <w:t xml:space="preserve"> Phải uống thuốc lúc đói vào buổi sáng với một ly nước lọc đầy, duy trì tư thế ngồi hoặc đứng thẳng ít nhất 30 phút sau khi uống, không được ăn hoặc uống nước khác trong thời gian này để tránh viêm loét thực quản nghiêm trọng.</w:t>
      </w:r>
    </w:p>
    <w:p>
      <w:pPr>
        <w:pStyle w:val="ListBullet"/>
      </w:pPr>
      <w:r>
        <w:rPr>
          <w:i/>
        </w:rPr>
        <w:t>Chống chỉ định:</w:t>
      </w:r>
      <w:r>
        <w:t xml:space="preserve"> Bệnh lý thực quản làm chậm rỗng thực quản (hẹp thực quản, achalasia), không thể ngồi/đứng thẳng 30 phút, suy thận nặng (eGFR &lt; 35 mL/phút), hạ calcium máu chưa được điều trị.</w:t>
      </w:r>
    </w:p>
    <w:p>
      <w:pPr>
        <w:pStyle w:val="ListNumber"/>
      </w:pPr>
      <w:r>
        <w:rPr>
          <w:b/>
        </w:rPr>
        <w:t>Nhóm Kháng RANKL (Denosumab):</w:t>
      </w:r>
    </w:p>
    <w:p>
      <w:pPr>
        <w:pStyle w:val="ListBullet"/>
      </w:pPr>
      <w:r>
        <w:rPr>
          <w:i/>
        </w:rPr>
        <w:t>Cơ chế:</w:t>
      </w:r>
      <w:r>
        <w:t xml:space="preserve"> Kháng thể đơn dòng người gắn đặc hiệu với RANKL, ngăn RANKL gắn vào receptor RANK trên bề mặt tiền tế bào tiêu xương, từ đó ức chế hoàn toàn sự biệt hóa, hoạt hóa và sống sót của osteoclast.</w:t>
      </w:r>
    </w:p>
    <w:p>
      <w:pPr>
        <w:pStyle w:val="ListBullet"/>
      </w:pPr>
      <w:r>
        <w:rPr>
          <w:i/>
        </w:rPr>
        <w:t>Đường dùng:</w:t>
      </w:r>
      <w:r>
        <w:t xml:space="preserve"> Tiêm dưới da định kỳ mỗi 6 tháng.</w:t>
      </w:r>
    </w:p>
    <w:p>
      <w:pPr>
        <w:pStyle w:val="ListBullet"/>
      </w:pPr>
      <w:r>
        <w:rPr>
          <w:i/>
        </w:rPr>
        <w:t>Ưu điểm:</w:t>
      </w:r>
      <w:r>
        <w:t xml:space="preserve"> Không đào thải qua thận nên có thể sử dụng an toàn ở bệnh nhân suy thận (eGFR &lt; 30 mL/phút), nhưng cần theo dõi sát nguy cơ hạ calcium máu.</w:t>
      </w:r>
    </w:p>
    <w:p>
      <w:pPr>
        <w:pStyle w:val="ListBullet"/>
      </w:pPr>
      <w:r>
        <w:rPr>
          <w:i/>
        </w:rPr>
        <w:t>Đặc điểm cực kỳ quan trọng:</w:t>
      </w:r>
      <w:r>
        <w:t xml:space="preserve"> Tác dụng chống tiêu xương bị đảo ngược nhanh chóng sau khi ngưng thuốc.</w:t>
      </w:r>
    </w:p>
    <w:p>
      <w:pPr>
        <w:pStyle w:val="ListNumber"/>
      </w:pPr>
      <w:r>
        <w:rPr>
          <w:b/>
        </w:rPr>
        <w:t>Nhóm Tăng Tạo xương (Anabolic - Teriparatide):</w:t>
      </w:r>
    </w:p>
    <w:p>
      <w:pPr>
        <w:pStyle w:val="ListBullet"/>
      </w:pPr>
      <w:r>
        <w:rPr>
          <w:i/>
        </w:rPr>
        <w:t>Cơ chế:</w:t>
      </w:r>
      <w:r>
        <w:t xml:space="preserve"> Đoạn peptid tái tổ hợp của PTH người [PTH(1-34)]. Khi tiêm dưới da ngắt quãng hằng ngày, nó kích thích ưu thế con đường tạo xương của osteoblast hơn là tiêu xương.</w:t>
      </w:r>
    </w:p>
    <w:p>
      <w:pPr>
        <w:pStyle w:val="ListBullet"/>
      </w:pPr>
      <w:r>
        <w:rPr>
          <w:i/>
        </w:rPr>
        <w:t>Thời gian dùng:</w:t>
      </w:r>
      <w:r>
        <w:t xml:space="preserve"> Tối đa 18-24 tháng trong cả đời người bệnh.</w:t>
      </w:r>
    </w:p>
    <w:p>
      <w:pPr>
        <w:pStyle w:val="ListBullet"/>
      </w:pPr>
      <w:r>
        <w:rPr>
          <w:i/>
        </w:rPr>
        <w:t>Chống chỉ định:</w:t>
      </w:r>
      <w:r>
        <w:t xml:space="preserve"> Tăng calcium máu, bệnh Paget xương, tiền sử xạ trị vùng xương, ung thư xương nguyên phát hoặc di căn xương.</w:t>
      </w:r>
    </w:p>
    <w:p>
      <w:pPr>
        <w:pStyle w:val="ListNumber"/>
      </w:pPr>
      <w:r>
        <w:rPr>
          <w:b/>
        </w:rPr>
        <w:t>Nhóm Tác động kép (Dual-action - Romosozumab):</w:t>
      </w:r>
    </w:p>
    <w:p>
      <w:pPr>
        <w:pStyle w:val="ListBullet"/>
      </w:pPr>
      <w:r>
        <w:rPr>
          <w:i/>
        </w:rPr>
        <w:t>Cơ chế:</w:t>
      </w:r>
      <w:r>
        <w:t xml:space="preserve"> Kháng thể đơn dòng gắn và ức chế Sclerostin (một protein do osteocyte tiết ra để ức chế tạo xương). Việc ức chế Sclerostin vừa kích thích mạnh mẽ sự tạo xương mới của osteoblast vừa làm giảm sự tiêu xương của osteoclast.</w:t>
      </w:r>
    </w:p>
    <w:p>
      <w:pPr>
        <w:pStyle w:val="ListBullet"/>
      </w:pPr>
      <w:r>
        <w:rPr>
          <w:i/>
        </w:rPr>
        <w:t>Thời gian dùng:</w:t>
      </w:r>
      <w:r>
        <w:t xml:space="preserve"> Tiêm dưới da định kỳ hằng tháng trong 12 tháng.</w:t>
      </w:r>
    </w:p>
    <w:p>
      <w:pPr>
        <w:pStyle w:val="ListBullet"/>
      </w:pPr>
      <w:r>
        <w:rPr>
          <w:i/>
        </w:rPr>
        <w:t>Cảnh báo đặc biệt:</w:t>
      </w:r>
      <w:r>
        <w:t xml:space="preserve"> Chống chỉ định ở bệnh nhân có tiền sử nhồi máu cơ tim hoặc đột quỵ trong vòng 1 năm qua.</w:t>
      </w:r>
    </w:p>
    <w:p>
      <w:pPr>
        <w:pStyle w:val="Heading2"/>
      </w:pPr>
      <w:r>
        <w:t>5.4 Hai Quy tắc An toàn Không thương lượng trong Điều trị</w:t>
      </w:r>
    </w:p>
    <w:p>
      <w:pPr>
        <w:ind w:left="567"/>
      </w:pPr>
      <w:r>
        <w:rPr>
          <w:i/>
        </w:rPr>
        <w:t xml:space="preserve">🚨 </w:t>
      </w:r>
      <w:r>
        <w:rPr>
          <w:b/>
          <w:i/>
        </w:rPr>
        <w:t>QUY TẮC AN TOÀN 1: Bắt buộc Kiểm tra và Xử trí Hạ Calcium máu / Thiếu hụt Vitamin D trước khi dùng Thuốc đường Tiêm/Truyền mạnh</w:t>
      </w:r>
    </w:p>
    <w:p>
      <w:r>
        <w:t>&gt;</w:t>
      </w:r>
    </w:p>
    <w:p>
      <w:pPr>
        <w:ind w:left="567"/>
      </w:pPr>
      <w:r>
        <w:rPr>
          <w:i/>
        </w:rPr>
        <w:t xml:space="preserve">Trước khi khởi trị Zoledronic acid hoặc Denosumab, bác sĩ </w:t>
      </w:r>
      <w:r>
        <w:rPr>
          <w:b/>
          <w:i/>
        </w:rPr>
        <w:t>bắt buộc phải xét nghiệm Calcium máu và 25(OH)D máu</w:t>
      </w:r>
      <w:r>
        <w:rPr>
          <w:i/>
        </w:rPr>
        <w:t xml:space="preserve">. Nếu bệnh nhân đang bị hạ calcium máu hoặc thiếu hụt vitamin D nặng, việc tiêm/truyền các thuốc chống tiêu xương mạnh sẽ ức chế đột ngột sự giải phóng calcium từ xương, dẫn đến biến chứng </w:t>
      </w:r>
      <w:r>
        <w:rPr>
          <w:b/>
          <w:i/>
        </w:rPr>
        <w:t>hạ calcium máu cấp tính đe dọa tính mạng</w:t>
      </w:r>
      <w:r>
        <w:rPr>
          <w:i/>
        </w:rPr>
        <w:t xml:space="preserve"> (co quắp cơ, loạn nhịp tim, co thắt thanh quản). Phải bù đủ Calcium và Vitamin D đạt mức an toàn trước khi thực hiện mũi tiêm/truyền.</w:t>
      </w:r>
    </w:p>
    <w:p>
      <w:pPr>
        <w:ind w:left="567"/>
      </w:pPr>
      <w:r>
        <w:rPr>
          <w:i/>
        </w:rPr>
        <w:t xml:space="preserve">🚨 </w:t>
      </w:r>
      <w:r>
        <w:rPr>
          <w:b/>
          <w:i/>
        </w:rPr>
        <w:t>QUY TẮC AN TOÀN 2: Tuyệt đối Không tự ý Ngừng hoặc Hoãn Denosumab mà không có Kế hoạch Nối tiếp bằng Thuốc Chống tiêu xương khác</w:t>
      </w:r>
    </w:p>
    <w:p>
      <w:r>
        <w:t>&gt;</w:t>
      </w:r>
    </w:p>
    <w:p>
      <w:pPr>
        <w:ind w:left="567"/>
      </w:pPr>
      <w:r>
        <w:rPr>
          <w:i/>
        </w:rPr>
        <w:t xml:space="preserve">Không giống như Bisphosphonate (vốn đọng lại rất lâu trong xương), hiệu quả ức chế tiêu xương của Denosumab mất đi hoàn toàn sau khoảng 6 tháng kể từ mũi tiêm cuối cùng. Việc hoãn hoặc ngưng Denosumab mà không có kế hoạch bảo vệ sẽ gây ra hiện tượng </w:t>
      </w:r>
      <w:r>
        <w:rPr>
          <w:b/>
          <w:i/>
        </w:rPr>
        <w:t>tăng vọt tiêu xương dội ngược (rebound phenomenon)</w:t>
      </w:r>
      <w:r>
        <w:rPr>
          <w:i/>
        </w:rPr>
        <w:t xml:space="preserve">, làm giảm BMD nhanh chóng và gia tăng nguy cơ </w:t>
      </w:r>
      <w:r>
        <w:rPr>
          <w:b/>
          <w:i/>
        </w:rPr>
        <w:t>gãy nhiều đốt sống cấp tính (multiple rebound vertebral fractures)</w:t>
      </w:r>
      <w:r>
        <w:rPr>
          <w:i/>
        </w:rPr>
        <w:t xml:space="preserve"> (PMID: 19671655) [ABSTRACT VERIFIED]. Nếu bắt buộc phải dừng Denosumab, phải lập tức chuyển bệnh nhân sang dùng Bisphosphonate (như truyền Zoledronic acid) để chốt giữ khối lượng xương đã đạt được (PMID: 40921943) [GUIDELINE VERIFIED].</w:t>
      </w:r>
    </w:p>
    <w:p>
      <w:pPr>
        <w:pStyle w:val="Heading2"/>
      </w:pPr>
      <w:r>
        <w:t>5.5 Biến cố Tác dụng phụ Hiếm gặp nhưng Nghiêm trọng: AFF và ONJ</w:t>
      </w:r>
    </w:p>
    <w:p>
      <w:pPr>
        <w:pStyle w:val="ListNumber"/>
      </w:pPr>
      <w:r>
        <w:rPr>
          <w:b/>
        </w:rPr>
        <w:t>Gãy xương đùi không điển hình (Atypical Femoral Fracture - AFF):</w:t>
      </w:r>
    </w:p>
    <w:p>
      <w:pPr>
        <w:pStyle w:val="ListBullet"/>
      </w:pPr>
      <w:r>
        <w:rPr>
          <w:i/>
        </w:rPr>
        <w:t>Bản chất:</w:t>
      </w:r>
      <w:r>
        <w:t xml:space="preserve"> Gãy ngang hoặc gãy chéo ngắn ở vùng dưới mấu chuyển hoặc thân xương đùi, xảy ra sau chấn thương rất nhẹ hoặc không có chấn thương, liên quan đến tình trạng chèn ép chu chuyển xương kéo dài do dùng bisphosphonate hoặc denosumab lâu năm.</w:t>
      </w:r>
    </w:p>
    <w:p>
      <w:pPr>
        <w:pStyle w:val="ListBullet"/>
      </w:pPr>
      <w:r>
        <w:rPr>
          <w:i/>
        </w:rPr>
        <w:t>Cảnh báo lâm sàng:</w:t>
      </w:r>
      <w:r>
        <w:t xml:space="preserve"> Bệnh nhân thường có biểu hiện </w:t>
      </w:r>
      <w:r>
        <w:rPr>
          <w:b/>
        </w:rPr>
        <w:t>đau âm ỉ vùng đùi, bẹn hoặc hông</w:t>
      </w:r>
      <w:r>
        <w:t xml:space="preserve"> nhiều tuần/tháng trước khi gãy hoàn toàn.</w:t>
      </w:r>
    </w:p>
    <w:p>
      <w:pPr>
        <w:pStyle w:val="ListBullet"/>
      </w:pPr>
      <w:r>
        <w:rPr>
          <w:i/>
        </w:rPr>
        <w:t>Xử trí:</w:t>
      </w:r>
      <w:r>
        <w:t xml:space="preserve"> Khi bệnh nhân dùng thuốc chống tiêu xương báo đau đùi/bẹn, phải chụp X-quang xương đùi 2 bên ngay lập tức. Nếu phát hiện AFF, dừng ngay thuốc chống tiêu xương, hội chẩn Chấn thương Chỉnh hình và xem xét dùng Teriparatide để thúc đẩy lành xương.</w:t>
      </w:r>
    </w:p>
    <w:p>
      <w:pPr>
        <w:pStyle w:val="ListNumber"/>
      </w:pPr>
      <w:r>
        <w:rPr>
          <w:b/>
        </w:rPr>
        <w:t>Hoại tử xương hàm liên quan đến thuốc (Medication-Related Osteonecrosis of the Jaw - ONJ):</w:t>
      </w:r>
    </w:p>
    <w:p>
      <w:pPr>
        <w:pStyle w:val="ListBullet"/>
      </w:pPr>
      <w:r>
        <w:rPr>
          <w:i/>
        </w:rPr>
        <w:t>Bản chất:</w:t>
      </w:r>
      <w:r>
        <w:t xml:space="preserve"> Tổn thương bộc lộ xương vùng hàm mặt không lành sau 8 tuần ở bệnh nhân đang hoặc đã dùng thuốc chống tiêu xương, thường khởi phát sau các thủ thuật nha khoa xâm lấn (nhổ răng, cấy ghép implant).</w:t>
      </w:r>
    </w:p>
    <w:p>
      <w:pPr>
        <w:pStyle w:val="ListBullet"/>
      </w:pPr>
      <w:r>
        <w:rPr>
          <w:i/>
        </w:rPr>
        <w:t>Phòng ngừa:</w:t>
      </w:r>
      <w:r>
        <w:t xml:space="preserve"> Bệnh nhân nên được khám nha khoa và hoàn tất các thủ thuật nhổ răng/phẫu thuật hàm trước khi khởi trị bisphosphonate liều cao hoặc denosumab. Duy trì vệ sinh răng miệng tốt trong suốt quá trình điều trị.</w:t>
      </w:r>
    </w:p>
    <w:p>
      <w:pPr>
        <w:pStyle w:val="Heading2"/>
      </w:pPr>
      <w:r>
        <w:t>5.6 Phác đồ mẫu — Đơn thuốc điển hình [CỐT LÕI]</w:t>
      </w:r>
    </w:p>
    <w:p>
      <w:pPr>
        <w:ind w:left="567"/>
      </w:pPr>
      <w:r>
        <w:rPr>
          <w:b/>
          <w:i/>
        </w:rPr>
        <w:t>Lưu ý nguồn:</w:t>
      </w:r>
      <w:r>
        <w:rPr>
          <w:i/>
        </w:rPr>
        <w:t xml:space="preserve"> Liều dùng dưới đây theo NOGG 2024 (PMID: 40921943) [GUIDELINE VERIFIED] và thực hành lâm sàng chuẩn quốc tế. Bác sĩ cần điều chỉnh theo chức năng thận (eGFR), cân nặng và bệnh đồng mắc của từng bệnh nhân.</w:t>
      </w:r>
    </w:p>
    <w:p/>
    <w:p>
      <w:pPr>
        <w:pStyle w:val="Heading3"/>
      </w:pPr>
      <w:r>
        <w:t>Phác đồ 1 — Loãng xương nguy cơ cao, chức năng thận bình thường, có thể uống thuốc</w:t>
      </w:r>
    </w:p>
    <w:p>
      <w:r>
        <w:rPr>
          <w:i/>
        </w:rPr>
        <w:t>(Ví dụ: Phụ nữ 68 tuổi, T-score −2.8 tại cổ xương đùi, chưa gãy xương, eGFR 72 mL/phút)</w:t>
      </w:r>
    </w:p>
    <w:p>
      <w:r>
        <w:rPr>
          <w:b/>
        </w:rPr>
        <w:t>Đơn thuốc:</w:t>
      </w:r>
    </w:p>
    <w:p>
      <w:pPr>
        <w:pStyle w:val="ListNumber"/>
      </w:pPr>
      <w:r>
        <w:rPr>
          <w:b/>
        </w:rPr>
        <w:t>Alendronate 70 mg</w:t>
      </w:r>
      <w:r>
        <w:t xml:space="preserve"> — uống 1 viên/tuần vào buổi sáng lúc đói, với ít nhất 200 mL nước lọc, ngồi/đứng thẳng ≥ 30 phút sau uống</w:t>
      </w:r>
    </w:p>
    <w:p>
      <w:pPr>
        <w:pStyle w:val="ListNumber"/>
      </w:pPr>
      <w:r>
        <w:rPr>
          <w:b/>
        </w:rPr>
        <w:t>Calcium carbonate 500 mg</w:t>
      </w:r>
      <w:r>
        <w:t xml:space="preserve"> — uống 1 viên sau bữa ăn trưa (tách xa Alendronate ≥ 2 giờ)</w:t>
      </w:r>
    </w:p>
    <w:p>
      <w:pPr>
        <w:pStyle w:val="ListNumber"/>
      </w:pPr>
      <w:r>
        <w:rPr>
          <w:b/>
        </w:rPr>
        <w:t>Vitamin D3 800–1000 IU</w:t>
      </w:r>
      <w:r>
        <w:t xml:space="preserve"> — uống 1 viên mỗi ngày cùng bữa ăn có chất béo (tăng hấp thu)</w:t>
      </w:r>
    </w:p>
    <w:p>
      <w:r>
        <w:rPr>
          <w:b/>
        </w:rPr>
        <w:t>Giải thích đơn:</w:t>
      </w:r>
    </w:p>
    <w:p>
      <w:pPr>
        <w:pStyle w:val="ListBullet"/>
      </w:pPr>
      <w:r>
        <w:rPr>
          <w:b/>
        </w:rPr>
        <w:t>Tại sao Alendronate tuần 1 lần thay vì ngày?</w:t>
      </w:r>
      <w:r>
        <w:t xml:space="preserve"> Bisphosphonate hàng tuần có cùng hiệu quả với hàng ngày nhưng giảm tần suất tiếp xúc niêm mạc thực quản → giảm tác dụng phụ tiêu hóa và tăng tuân thủ.</w:t>
      </w:r>
    </w:p>
    <w:p>
      <w:pPr>
        <w:pStyle w:val="ListBullet"/>
      </w:pPr>
      <w:r>
        <w:rPr>
          <w:b/>
        </w:rPr>
        <w:t>Tại sao uống lúc đói + đứng thẳng 30 phút?</w:t>
      </w:r>
      <w:r>
        <w:t xml:space="preserve"> Hấp thu bisphosphonate qua đường uống &lt; 1%; thức ăn và nằm ngửa làm thuốc đọng lại thực quản gây loét/thủng — đây là CCĐ thực tế nguy hiểm nhất.</w:t>
      </w:r>
    </w:p>
    <w:p>
      <w:pPr>
        <w:pStyle w:val="ListBullet"/>
      </w:pPr>
      <w:r>
        <w:rPr>
          <w:b/>
        </w:rPr>
        <w:t>Tại sao tách Calcium và Alendronate?</w:t>
      </w:r>
      <w:r>
        <w:t xml:space="preserve"> Calcium tạo phức với bisphosphonate trong đường tiêu hóa → giảm hấp thu bisphosphonate xuống gần 0.</w:t>
      </w:r>
    </w:p>
    <w:p>
      <w:pPr>
        <w:pStyle w:val="ListBullet"/>
      </w:pPr>
      <w:r>
        <w:rPr>
          <w:b/>
        </w:rPr>
        <w:t>Tại sao cần Vitamin D3?</w:t>
      </w:r>
      <w:r>
        <w:t xml:space="preserve"> Thiếu vitamin D làm giảm hấp thu calcium ở ruột → cường cận giáp thứ phát → tăng tiêu xương → triệt tiêu tác dụng của bisphosphonate.</w:t>
      </w:r>
    </w:p>
    <w:p>
      <w:pPr>
        <w:pStyle w:val="ListBullet"/>
      </w:pPr>
      <w:r>
        <w:rPr>
          <w:b/>
        </w:rPr>
        <w:t>Dặn bệnh nhân:</w:t>
      </w:r>
      <w:r>
        <w:t xml:space="preserve"> Ngừng thuốc và tái khám ngay nếu có đau ngực, khó nuốt, đau khi nuốt (dấu hiệu viêm/loét thực quản). Báo ngay nếu có đau âm ỉ vùng đùi/bẹn kéo dài (nghi AFF).</w:t>
      </w:r>
    </w:p>
    <w:p>
      <w:pPr>
        <w:pStyle w:val="ListBullet"/>
      </w:pPr>
      <w:r>
        <w:rPr>
          <w:b/>
        </w:rPr>
        <w:t>Mốc đánh giá đáp ứng:</w:t>
      </w:r>
      <w:r>
        <w:t xml:space="preserve"> Đo DXA sau 1–2 năm; xét nghiệm Calcium, Creatinine, 25(OH)D sau 3 tháng.</w:t>
      </w:r>
    </w:p>
    <w:p/>
    <w:p>
      <w:pPr>
        <w:pStyle w:val="Heading3"/>
      </w:pPr>
      <w:r>
        <w:t>Phác đồ 2 — Loãng xương sau gãy cổ xương đùi (phòng ngừa thứ phát), không uống được bisphosphonate</w:t>
      </w:r>
    </w:p>
    <w:p>
      <w:r>
        <w:rPr>
          <w:i/>
        </w:rPr>
        <w:t>(Ví dụ: Phụ nữ 74 tuổi, vừa phẫu thuật thay khớp hông, tiền sử trào ngược dạ dày nặng, eGFR 55 mL/phút)</w:t>
      </w:r>
    </w:p>
    <w:p>
      <w:r>
        <w:rPr>
          <w:b/>
        </w:rPr>
        <w:t>Đơn thuốc:</w:t>
      </w:r>
    </w:p>
    <w:p>
      <w:pPr>
        <w:pStyle w:val="ListNumber"/>
      </w:pPr>
      <w:r>
        <w:rPr>
          <w:b/>
        </w:rPr>
        <w:t>Zoledronic acid 5 mg</w:t>
      </w:r>
      <w:r>
        <w:t xml:space="preserve"> — truyền tĩnh mạch 1 lần/năm trong 15 phút (sau khi đã bù đủ Calcium và Vitamin D ít nhất 2 tuần)</w:t>
      </w:r>
    </w:p>
    <w:p>
      <w:pPr>
        <w:pStyle w:val="ListNumber"/>
      </w:pPr>
      <w:r>
        <w:rPr>
          <w:b/>
        </w:rPr>
        <w:t>Calcium carbonate 500 mg</w:t>
      </w:r>
      <w:r>
        <w:t xml:space="preserve"> — uống 1 viên sau bữa ăn, 2 lần/ngày</w:t>
      </w:r>
    </w:p>
    <w:p>
      <w:pPr>
        <w:pStyle w:val="ListNumber"/>
      </w:pPr>
      <w:r>
        <w:rPr>
          <w:b/>
        </w:rPr>
        <w:t>Vitamin D3 1000 IU</w:t>
      </w:r>
      <w:r>
        <w:t xml:space="preserve"> — uống 1 viên mỗi ngày</w:t>
      </w:r>
    </w:p>
    <w:p>
      <w:pPr>
        <w:pStyle w:val="ListNumber"/>
      </w:pPr>
      <w:r>
        <w:rPr>
          <w:b/>
        </w:rPr>
        <w:t>Paracetamol 500 mg</w:t>
      </w:r>
      <w:r>
        <w:t xml:space="preserve"> — uống 1–2 viên mỗi 6 giờ khi cần, trong 1–3 ngày đầu sau truyền (dự phòng phản ứng giả cúm)</w:t>
      </w:r>
    </w:p>
    <w:p>
      <w:r>
        <w:rPr>
          <w:b/>
        </w:rPr>
        <w:t>Giải thích đơn:</w:t>
      </w:r>
    </w:p>
    <w:p>
      <w:pPr>
        <w:pStyle w:val="ListBullet"/>
      </w:pPr>
      <w:r>
        <w:rPr>
          <w:b/>
        </w:rPr>
        <w:t>Tại sao chọn Zoledronic acid IV thay vì uống?</w:t>
      </w:r>
      <w:r>
        <w:t xml:space="preserve"> Bệnh nhân có trào ngược dạ dày nặng → CCĐ tương đối với bisphosphonate uống (tăng nguy cơ loét thực quản). Zoledronic acid IV bỏ qua hoàn toàn đường tiêu hóa, hiệu quả tương đương, chỉ cần 1 lần/năm.</w:t>
      </w:r>
    </w:p>
    <w:p>
      <w:pPr>
        <w:pStyle w:val="ListBullet"/>
      </w:pPr>
      <w:r>
        <w:rPr>
          <w:b/>
        </w:rPr>
        <w:t>Tại sao bắt buộc bù Calcium + Vitamin D trước khi truyền?</w:t>
      </w:r>
      <w:r>
        <w:t xml:space="preserve"> Zoledronic acid ức chế mạnh osteoclast → giảm giải phóng calcium từ xương → nếu bệnh nhân đang thiếu calcium/vitamin D, sẽ xảy ra hạ calcium máu cấp (co quắp, loạn nhịp) ngay sau truyền.</w:t>
      </w:r>
    </w:p>
    <w:p>
      <w:pPr>
        <w:pStyle w:val="ListBullet"/>
      </w:pPr>
      <w:r>
        <w:rPr>
          <w:b/>
        </w:rPr>
        <w:t>Tại sao cho Paracetamol?</w:t>
      </w:r>
      <w:r>
        <w:t xml:space="preserve"> Phản ứng giả cúm (sốt, đau cơ, đau đầu) xảy ra ở ~30% bệnh nhân trong 1–3 ngày đầu sau truyền Zoledronic acid lần đầu — do giải phóng cytokine viêm. Paracetamol dự phòng giúp bệnh nhân không bỏ điều trị.</w:t>
      </w:r>
    </w:p>
    <w:p>
      <w:pPr>
        <w:pStyle w:val="ListBullet"/>
      </w:pPr>
      <w:r>
        <w:rPr>
          <w:b/>
        </w:rPr>
        <w:t>Dặn bệnh nhân:</w:t>
      </w:r>
      <w:r>
        <w:t xml:space="preserve"> Uống đủ nước (≥ 500 mL) trước khi đến truyền. Thông báo ngay nếu có đau hàm, vết thương miệng không lành (nghi ONJ). Hẹn lịch truyền lần sau đúng 12 tháng.</w:t>
      </w:r>
    </w:p>
    <w:p>
      <w:pPr>
        <w:pStyle w:val="ListBullet"/>
      </w:pPr>
      <w:r>
        <w:rPr>
          <w:b/>
        </w:rPr>
        <w:t>Mốc đánh giá:</w:t>
      </w:r>
      <w:r>
        <w:t xml:space="preserve"> Xét nghiệm Calcium, Creatinine trước mỗi lần truyền; DXA sau 1–2 năm.</w:t>
      </w:r>
    </w:p>
    <w:p/>
    <w:p>
      <w:pPr>
        <w:pStyle w:val="Heading3"/>
      </w:pPr>
      <w:r>
        <w:t>Phác đồ 3 — Loãng xương nguy cơ rất cao, gãy nhiều đốt sống, cần thuốc tăng tạo xương</w:t>
      </w:r>
    </w:p>
    <w:p>
      <w:r>
        <w:rPr>
          <w:i/>
        </w:rPr>
        <w:t>(Ví dụ: Phụ nữ 70 tuổi, T-score −3.2, đã gãy 2 đốt sống trong khi đang dùng Alendronate, eGFR 65 mL/phút)</w:t>
      </w:r>
    </w:p>
    <w:p>
      <w:r>
        <w:rPr>
          <w:b/>
        </w:rPr>
        <w:t>Đơn thuốc (giai đoạn 1 — 18–24 tháng):</w:t>
      </w:r>
    </w:p>
    <w:p>
      <w:pPr>
        <w:pStyle w:val="ListNumber"/>
      </w:pPr>
      <w:r>
        <w:rPr>
          <w:b/>
        </w:rPr>
        <w:t>Teriparatide 20 mcg</w:t>
      </w:r>
      <w:r>
        <w:t xml:space="preserve"> — tiêm dưới da 1 lần/ngày (bút tiêm tự dùng, bảo quản lạnh 2–8°C)</w:t>
      </w:r>
    </w:p>
    <w:p>
      <w:pPr>
        <w:pStyle w:val="ListNumber"/>
      </w:pPr>
      <w:r>
        <w:rPr>
          <w:b/>
        </w:rPr>
        <w:t>Calcium carbonate 500 mg</w:t>
      </w:r>
      <w:r>
        <w:t xml:space="preserve"> — uống 1 viên sau bữa ăn, 2 lần/ngày</w:t>
      </w:r>
    </w:p>
    <w:p>
      <w:pPr>
        <w:pStyle w:val="ListNumber"/>
      </w:pPr>
      <w:r>
        <w:rPr>
          <w:b/>
        </w:rPr>
        <w:t>Vitamin D3 800–1000 IU</w:t>
      </w:r>
      <w:r>
        <w:t xml:space="preserve"> — uống 1 viên mỗi ngày</w:t>
      </w:r>
    </w:p>
    <w:p>
      <w:r>
        <w:rPr>
          <w:b/>
        </w:rPr>
        <w:t>Đơn thuốc (giai đoạn 2 — bắt buộc nối tiếp sau khi ngưng Teriparatide):</w:t>
      </w:r>
    </w:p>
    <w:p>
      <w:pPr>
        <w:pStyle w:val="ListNumber"/>
      </w:pPr>
      <w:r>
        <w:rPr>
          <w:b/>
        </w:rPr>
        <w:t>Zoledronic acid 5 mg IV</w:t>
      </w:r>
      <w:r>
        <w:t xml:space="preserve"> — truyền 1 lần/năm, bắt đầu ngay sau khi ngưng Teriparatide (không để khoảng trống)</w:t>
      </w:r>
    </w:p>
    <w:p>
      <w:r>
        <w:rPr>
          <w:b/>
        </w:rPr>
        <w:t>Giải thích đơn:</w:t>
      </w:r>
    </w:p>
    <w:p>
      <w:pPr>
        <w:pStyle w:val="ListBullet"/>
      </w:pPr>
      <w:r>
        <w:rPr>
          <w:b/>
        </w:rPr>
        <w:t>Tại sao không tiếp tục Alendronate mà chuyển sang Teriparatide?</w:t>
      </w:r>
      <w:r>
        <w:t xml:space="preserve"> Bệnh nhân gãy xương khi đang dùng antiresorptive → thất bại điều trị → cần chuyển sang thuốc tăng tạo xương (anabolic) kích thích xây xương mới thay vì chỉ hãm tiêu xương.</w:t>
      </w:r>
    </w:p>
    <w:p>
      <w:pPr>
        <w:pStyle w:val="ListBullet"/>
      </w:pPr>
      <w:r>
        <w:rPr>
          <w:b/>
        </w:rPr>
        <w:t>Tại sao Teriparatide tối đa 18–24 tháng?</w:t>
      </w:r>
      <w:r>
        <w:t xml:space="preserve"> Giới hạn lifetime do lo ngại lý thuyết về osteosarcoma (từ nghiên cứu trên chuột liều cao); sau giới hạn này hiệu quả cũng giảm dần.</w:t>
      </w:r>
    </w:p>
    <w:p>
      <w:pPr>
        <w:pStyle w:val="ListBullet"/>
      </w:pPr>
      <w:r>
        <w:rPr>
          <w:b/>
        </w:rPr>
        <w:t>Tại sao BẮT BUỘC nối tiếp bằng Zoledronic acid?</w:t>
      </w:r>
      <w:r>
        <w:t xml:space="preserve"> Khi ngưng Teriparatide, xương mới tạo ra sẽ bị tiêu xương trở lại nhanh chóng nếu không có antiresorptive bảo vệ — mất toàn bộ lợi ích đã đạt được trong 2 năm điều trị.</w:t>
      </w:r>
    </w:p>
    <w:p>
      <w:pPr>
        <w:pStyle w:val="ListBullet"/>
      </w:pPr>
      <w:r>
        <w:rPr>
          <w:b/>
        </w:rPr>
        <w:t>Dặn bệnh nhân:</w:t>
      </w:r>
      <w:r>
        <w:t xml:space="preserve"> Tiêm vào cùng một thời điểm mỗi ngày (sáng hoặc tối). Ngồi nghỉ 30 phút sau mũi tiêm đầu tiên (nguy cơ hạ huyết áp tư thế thoáng qua). Bảo quản bút tiêm trong tủ lạnh, không đông đá.</w:t>
      </w:r>
    </w:p>
    <w:p/>
    <w:p>
      <w:pPr>
        <w:pStyle w:val="Heading2"/>
      </w:pPr>
      <w:r>
        <w:t>5.7 Hướng dẫn Theo dõi &amp; Tái khám [CỐT LÕI]</w:t>
      </w:r>
    </w:p>
    <w:p>
      <w:r>
        <w:rPr>
          <w:b/>
        </w:rPr>
        <w:t>Tiêu chí nhập viện / theo dõi nội trú:</w:t>
      </w:r>
    </w:p>
    <w:p>
      <w:pPr>
        <w:pStyle w:val="ListBullet"/>
      </w:pPr>
      <w:r>
        <w:t>Gãy cổ xương đùi hoặc gãy đốt sống có triệu chứng thần kinh → nhập viện Chấn thương Chỉnh hình / Phẫu thuật Cột sống</w:t>
      </w:r>
    </w:p>
    <w:p>
      <w:pPr>
        <w:pStyle w:val="ListBullet"/>
      </w:pPr>
      <w:r>
        <w:t>Hạ calcium máu có triệu chứng (co quắp cơ, Chvostek/Trousseau dương tính, loạn nhịp) → nhập viện cấp cứu, bù Calcium tĩnh mạch</w:t>
      </w:r>
    </w:p>
    <w:p>
      <w:pPr>
        <w:pStyle w:val="ListBullet"/>
      </w:pPr>
      <w:r>
        <w:t>Phản ứng nặng sau truyền Zoledronic acid (sốt &gt; 39°C, co thắt thanh quản, hạ huyết áp) → theo dõi nội trú ít nhất 4 giờ</w:t>
      </w:r>
    </w:p>
    <w:p>
      <w:r>
        <w:rPr>
          <w:b/>
        </w:rPr>
        <w:t>Tiêu chí xuất viện / chuyển ngoại trú:</w:t>
      </w:r>
    </w:p>
    <w:p>
      <w:pPr>
        <w:pStyle w:val="ListBullet"/>
      </w:pPr>
      <w:r>
        <w:t>Sau phẫu thuật gãy xương: ổn định huyết động, đau kiểm soát được, bắt đầu phục hồi chức năng, Calcium máu bình thường</w:t>
      </w:r>
    </w:p>
    <w:p>
      <w:pPr>
        <w:pStyle w:val="ListBullet"/>
      </w:pPr>
      <w:r>
        <w:t>Đã khởi trị thuốc chống loãng xương và bệnh nhân/người nhà hiểu cách dùng thuốc và dấu hiệu cần tái khám sớm</w:t>
      </w:r>
    </w:p>
    <w:p>
      <w:r>
        <w:rPr>
          <w:b/>
        </w:rPr>
        <w:t>Lịch tái khám ngoại trú theo nhóm thuốc:</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Lần tái khám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Thời điểm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Mục tiêu đánh giá</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Xét nghiệm / Hình ảnh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Điều chỉnh điều trị</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Lần 1</w:t>
            </w:r>
          </w:p>
        </w:tc>
        <w:tc>
          <w:tcPr>
            <w:tcW w:type="dxa" w:w="1728"/>
            <w:tcBorders>
              <w:top w:val="single" w:sz="4" w:color="000000"/>
              <w:left w:val="single" w:sz="4" w:color="000000"/>
              <w:bottom w:val="single" w:sz="4" w:color="000000"/>
              <w:right w:val="single" w:sz="4" w:color="000000"/>
            </w:tcBorders>
          </w:tcPr>
          <w:p>
            <w:r/>
            <w:r>
              <w:t>4–6 tuần sau khởi trị</w:t>
            </w:r>
          </w:p>
        </w:tc>
        <w:tc>
          <w:tcPr>
            <w:tcW w:type="dxa" w:w="1728"/>
            <w:tcBorders>
              <w:top w:val="single" w:sz="4" w:color="000000"/>
              <w:left w:val="single" w:sz="4" w:color="000000"/>
              <w:bottom w:val="single" w:sz="4" w:color="000000"/>
              <w:right w:val="single" w:sz="4" w:color="000000"/>
            </w:tcBorders>
          </w:tcPr>
          <w:p>
            <w:r/>
            <w:r>
              <w:t>Dung nạp thuốc, tác dụng phụ tiêu hóa (bisphosphonate uống), phản ứng tại chỗ tiêm (Denosumab/Teriparatide)</w:t>
            </w:r>
          </w:p>
        </w:tc>
        <w:tc>
          <w:tcPr>
            <w:tcW w:type="dxa" w:w="1728"/>
            <w:tcBorders>
              <w:top w:val="single" w:sz="4" w:color="000000"/>
              <w:left w:val="single" w:sz="4" w:color="000000"/>
              <w:bottom w:val="single" w:sz="4" w:color="000000"/>
              <w:right w:val="single" w:sz="4" w:color="000000"/>
            </w:tcBorders>
          </w:tcPr>
          <w:p>
            <w:r/>
            <w:r>
              <w:t>Calcium máu, Creatinine, 25(OH)D</w:t>
            </w:r>
          </w:p>
        </w:tc>
        <w:tc>
          <w:tcPr>
            <w:tcW w:type="dxa" w:w="1728"/>
            <w:tcBorders>
              <w:top w:val="single" w:sz="4" w:color="000000"/>
              <w:left w:val="single" w:sz="4" w:color="000000"/>
              <w:bottom w:val="single" w:sz="4" w:color="000000"/>
              <w:right w:val="single" w:sz="4" w:color="000000"/>
            </w:tcBorders>
          </w:tcPr>
          <w:p>
            <w:r/>
            <w:r>
              <w:t>Đổi sang IV nếu không dung nạp uống; bù thêm Vitamin D nếu 25(OH)D &lt; 20 ng/mL</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Lần 2</w:t>
            </w:r>
          </w:p>
        </w:tc>
        <w:tc>
          <w:tcPr>
            <w:tcW w:type="dxa" w:w="1728"/>
            <w:tcBorders>
              <w:top w:val="single" w:sz="4" w:color="000000"/>
              <w:left w:val="single" w:sz="4" w:color="000000"/>
              <w:bottom w:val="single" w:sz="4" w:color="000000"/>
              <w:right w:val="single" w:sz="4" w:color="000000"/>
            </w:tcBorders>
          </w:tcPr>
          <w:p>
            <w:r/>
            <w:r>
              <w:t>3 tháng</w:t>
            </w:r>
          </w:p>
        </w:tc>
        <w:tc>
          <w:tcPr>
            <w:tcW w:type="dxa" w:w="1728"/>
            <w:tcBorders>
              <w:top w:val="single" w:sz="4" w:color="000000"/>
              <w:left w:val="single" w:sz="4" w:color="000000"/>
              <w:bottom w:val="single" w:sz="4" w:color="000000"/>
              <w:right w:val="single" w:sz="4" w:color="000000"/>
            </w:tcBorders>
          </w:tcPr>
          <w:p>
            <w:r/>
            <w:r>
              <w:t>Calcium máu ổn định sau truyền Zoledronic acid; đánh giá tuân thủ Teriparatide hàng ngày</w:t>
            </w:r>
          </w:p>
        </w:tc>
        <w:tc>
          <w:tcPr>
            <w:tcW w:type="dxa" w:w="1728"/>
            <w:tcBorders>
              <w:top w:val="single" w:sz="4" w:color="000000"/>
              <w:left w:val="single" w:sz="4" w:color="000000"/>
              <w:bottom w:val="single" w:sz="4" w:color="000000"/>
              <w:right w:val="single" w:sz="4" w:color="000000"/>
            </w:tcBorders>
          </w:tcPr>
          <w:p>
            <w:r/>
            <w:r>
              <w:t>Calcium, Phosphat, Creatinine</w:t>
            </w:r>
          </w:p>
        </w:tc>
        <w:tc>
          <w:tcPr>
            <w:tcW w:type="dxa" w:w="1728"/>
            <w:tcBorders>
              <w:top w:val="single" w:sz="4" w:color="000000"/>
              <w:left w:val="single" w:sz="4" w:color="000000"/>
              <w:bottom w:val="single" w:sz="4" w:color="000000"/>
              <w:right w:val="single" w:sz="4" w:color="000000"/>
            </w:tcBorders>
          </w:tcPr>
          <w:p>
            <w:r/>
            <w:r>
              <w:t>Điều chỉnh liều Calcium/Vitamin D nếu cần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Lần 3</w:t>
            </w:r>
          </w:p>
        </w:tc>
        <w:tc>
          <w:tcPr>
            <w:tcW w:type="dxa" w:w="1728"/>
            <w:tcBorders>
              <w:top w:val="single" w:sz="4" w:color="000000"/>
              <w:left w:val="single" w:sz="4" w:color="000000"/>
              <w:bottom w:val="single" w:sz="4" w:color="000000"/>
              <w:right w:val="single" w:sz="4" w:color="000000"/>
            </w:tcBorders>
          </w:tcPr>
          <w:p>
            <w:r/>
            <w:r>
              <w:t>6 tháng</w:t>
            </w:r>
          </w:p>
        </w:tc>
        <w:tc>
          <w:tcPr>
            <w:tcW w:type="dxa" w:w="1728"/>
            <w:tcBorders>
              <w:top w:val="single" w:sz="4" w:color="000000"/>
              <w:left w:val="single" w:sz="4" w:color="000000"/>
              <w:bottom w:val="single" w:sz="4" w:color="000000"/>
              <w:right w:val="single" w:sz="4" w:color="000000"/>
            </w:tcBorders>
          </w:tcPr>
          <w:p>
            <w:r/>
            <w:r>
              <w:t>Nhắc lịch tiêm Denosumab đúng hạn (mỗi 6 tháng — KHÔNG được trễ &gt; 1 tháng); đánh giá nguy cơ té ngã</w:t>
            </w:r>
          </w:p>
        </w:tc>
        <w:tc>
          <w:tcPr>
            <w:tcW w:type="dxa" w:w="1728"/>
            <w:tcBorders>
              <w:top w:val="single" w:sz="4" w:color="000000"/>
              <w:left w:val="single" w:sz="4" w:color="000000"/>
              <w:bottom w:val="single" w:sz="4" w:color="000000"/>
              <w:right w:val="single" w:sz="4" w:color="000000"/>
            </w:tcBorders>
          </w:tcPr>
          <w:p>
            <w:r/>
            <w:r>
              <w:t>Calcium máu trước mỗi mũi Denosumab</w:t>
            </w:r>
          </w:p>
        </w:tc>
        <w:tc>
          <w:tcPr>
            <w:tcW w:type="dxa" w:w="1728"/>
            <w:tcBorders>
              <w:top w:val="single" w:sz="4" w:color="000000"/>
              <w:left w:val="single" w:sz="4" w:color="000000"/>
              <w:bottom w:val="single" w:sz="4" w:color="000000"/>
              <w:right w:val="single" w:sz="4" w:color="000000"/>
            </w:tcBorders>
          </w:tcPr>
          <w:p>
            <w:r/>
            <w:r>
              <w:t>Nếu trễ Denosumab: đánh giá nguy cơ rebound, cân nhắc chuyển Bisphosphonate</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Dài hạn</w:t>
            </w:r>
          </w:p>
        </w:tc>
        <w:tc>
          <w:tcPr>
            <w:tcW w:type="dxa" w:w="1728"/>
            <w:tcBorders>
              <w:top w:val="single" w:sz="4" w:color="000000"/>
              <w:left w:val="single" w:sz="4" w:color="000000"/>
              <w:bottom w:val="single" w:sz="4" w:color="000000"/>
              <w:right w:val="single" w:sz="4" w:color="000000"/>
            </w:tcBorders>
          </w:tcPr>
          <w:p>
            <w:r/>
            <w:r>
              <w:t>1–2 năm</w:t>
            </w:r>
          </w:p>
        </w:tc>
        <w:tc>
          <w:tcPr>
            <w:tcW w:type="dxa" w:w="1728"/>
            <w:tcBorders>
              <w:top w:val="single" w:sz="4" w:color="000000"/>
              <w:left w:val="single" w:sz="4" w:color="000000"/>
              <w:bottom w:val="single" w:sz="4" w:color="000000"/>
              <w:right w:val="single" w:sz="4" w:color="000000"/>
            </w:tcBorders>
          </w:tcPr>
          <w:p>
            <w:r/>
            <w:r>
              <w:t>Đánh giá đáp ứng điều trị bằng DXA; xem xét drug holiday Bisphosphonate sau 3–5 năm ở nhóm nguy cơ thấp</w:t>
            </w:r>
          </w:p>
        </w:tc>
        <w:tc>
          <w:tcPr>
            <w:tcW w:type="dxa" w:w="1728"/>
            <w:tcBorders>
              <w:top w:val="single" w:sz="4" w:color="000000"/>
              <w:left w:val="single" w:sz="4" w:color="000000"/>
              <w:bottom w:val="single" w:sz="4" w:color="000000"/>
              <w:right w:val="single" w:sz="4" w:color="000000"/>
            </w:tcBorders>
          </w:tcPr>
          <w:p>
            <w:r/>
            <w:r>
              <w:t>DXA cột sống + cổ xương đùi; X-quang cột sống nếu đau lưng mới</w:t>
            </w:r>
          </w:p>
        </w:tc>
        <w:tc>
          <w:tcPr>
            <w:tcW w:type="dxa" w:w="1728"/>
            <w:tcBorders>
              <w:top w:val="single" w:sz="4" w:color="000000"/>
              <w:left w:val="single" w:sz="4" w:color="000000"/>
              <w:bottom w:val="single" w:sz="4" w:color="000000"/>
              <w:right w:val="single" w:sz="4" w:color="000000"/>
            </w:tcBorders>
          </w:tcPr>
          <w:p>
            <w:r/>
            <w:r>
              <w:t>Tiếp tục / drug holiday / đổi thuốc tùy nguy cơ tái đánh giá</w:t>
            </w:r>
          </w:p>
        </w:tc>
      </w:tr>
    </w:tbl>
    <w:p>
      <w:pPr>
        <w:ind w:left="567"/>
      </w:pPr>
      <w:r>
        <w:rPr>
          <w:b/>
          <w:i/>
        </w:rPr>
        <w:t>Lưu ý drug holiday Bisphosphonate:</w:t>
      </w:r>
      <w:r>
        <w:rPr>
          <w:i/>
        </w:rPr>
        <w:t xml:space="preserve"> Sau 3–5 năm điều trị Alendronate/Risedronate hoặc 3 năm Zoledronic acid, bệnh nhân nguy cơ thấp-trung bình có thể tạm ngưng 1–2 năm (FLEX RCT, PMID: 17190893) [ABSTRACT VERIFIED]. </w:t>
      </w:r>
      <w:r>
        <w:rPr>
          <w:b/>
          <w:i/>
        </w:rPr>
        <w:t>Tuyệt đối không áp dụng drug holiday cho Denosumab</w:t>
      </w:r>
      <w:r>
        <w:rPr>
          <w:i/>
        </w:rPr>
        <w:t xml:space="preserve"> — xem Quy tắc An toàn 2 (section 5.4).</w:t>
      </w:r>
    </w:p>
    <w:p>
      <w:r>
        <w:rPr>
          <w:b/>
        </w:rPr>
        <w:t>Dấu hiệu cần tái khám sớm (trước lịch hẹn):</w:t>
      </w:r>
    </w:p>
    <w:p>
      <w:pPr>
        <w:pStyle w:val="ListBullet"/>
      </w:pPr>
      <w:r>
        <w:t>Đau hông/đùi/lưng cấp mới → loại trừ gãy xương mới</w:t>
      </w:r>
    </w:p>
    <w:p>
      <w:pPr>
        <w:pStyle w:val="ListBullet"/>
      </w:pPr>
      <w:r>
        <w:t>Đau âm ỉ vùng đùi/bẹn kéo dài &gt; 2 tuần ở người dùng bisphosphonate/denosumab → nghi AFF, chụp X-quang đùi 2 bên ngay</w:t>
      </w:r>
    </w:p>
    <w:p>
      <w:pPr>
        <w:pStyle w:val="ListBullet"/>
      </w:pPr>
      <w:r>
        <w:t>Vết thương miệng/hàm không lành sau nhổ răng → nghi ONJ, dừng thuốc, hội chẩn Răng Hàm Mặt</w:t>
      </w:r>
    </w:p>
    <w:p>
      <w:pPr>
        <w:pStyle w:val="ListBullet"/>
      </w:pPr>
      <w:r>
        <w:t>Co quắp cơ, tê bì quanh miệng/ngón tay → nghi hạ calcium máu, đến cấp cứu ngay</w:t>
      </w:r>
    </w:p>
    <w:p>
      <w:r>
        <w:rPr>
          <w:b/>
        </w:rPr>
        <w:t>Tiêu chí chuyển tuyến / hội chẩn chuyên khoa:</w:t>
      </w:r>
    </w:p>
    <w:p>
      <w:pPr>
        <w:pStyle w:val="ListBullet"/>
      </w:pPr>
      <w:r>
        <w:t>Gãy xương cấp → Chấn thương Chỉnh hình (khẩn)</w:t>
      </w:r>
    </w:p>
    <w:p>
      <w:pPr>
        <w:pStyle w:val="ListBullet"/>
      </w:pPr>
      <w:r>
        <w:t>T-score ≤ −3.0 hoặc gãy xương tái phát khi đang điều trị → Nội tiết / Loãng xương (chuyên sâu)</w:t>
      </w:r>
    </w:p>
    <w:p>
      <w:pPr>
        <w:pStyle w:val="ListBullet"/>
      </w:pPr>
      <w:r>
        <w:t>Z-score ≤ −2.0 → tầm soát nguyên nhân thứ phát, hội chẩn tùy nguyên nhân (Thận học, Tiêu hóa, Huyết học)</w:t>
      </w:r>
    </w:p>
    <w:p>
      <w:pPr>
        <w:pStyle w:val="ListBullet"/>
      </w:pPr>
      <w:r>
        <w:t>Nghi ONJ → Răng Hàm Mặt (không khẩn, nhưng trong vòng 1–2 tuần)</w:t>
      </w:r>
    </w:p>
    <w:p>
      <w:pPr>
        <w:pStyle w:val="ListBullet"/>
      </w:pPr>
      <w:r>
        <w:t>Nghi AFF → Chấn thương Chỉnh hình (khẩn nếu đau nhiều hoặc thấy vết nứt trên X-quang)</w:t>
      </w:r>
    </w:p>
    <w:p>
      <w:pPr>
        <w:pStyle w:val="Heading1"/>
      </w:pPr>
      <w:r>
        <w:t>6. LƯU ĐỒ QUYẾT ĐỊNH LÂM SÀNG [CỐT LÕI]</w:t>
      </w:r>
    </w:p>
    <w:p>
      <w:r>
        <w:rPr>
          <w:b/>
        </w:rPr>
        <w:t>Bệnh nhân trung niên / người già: Nghi ngờ loãng xương hoặc nguy cơ gãy xương</w:t>
      </w:r>
    </w:p>
    <w:p>
      <w:r>
        <w:rPr>
          <w:b/>
        </w:rPr>
        <w:t>Bước 1: Có Red Flag không?</w:t>
      </w:r>
    </w:p>
    <w:p>
      <w:r>
        <w:rPr>
          <w:i/>
        </w:rPr>
        <w:t>(Đau chèn ép tủy, tăng Calcium máu, nghi Myeloma, nghi AFF)</w:t>
      </w:r>
    </w:p>
    <w:p>
      <w:r>
        <w:t>├── CÓ → 🛑 Dừng ngoại trú. Bất động, MRI/SPEP khẩn, hội chẩn Chấn thương Chỉnh hình / Huyết học / Cột sống</w:t>
      </w:r>
    </w:p>
    <w:p>
      <w:r>
        <w:t xml:space="preserve">└── KHÔNG → </w:t>
      </w:r>
      <w:r>
        <w:rPr>
          <w:b/>
        </w:rPr>
        <w:t>Bước 2: Đã từng gãy xương do lực thấp (Fragility Fracture)?</w:t>
      </w:r>
    </w:p>
    <w:p>
      <w:r>
        <w:t xml:space="preserve">    ├── CÓ → ⚠️ Kích hoạt Phòng ngừa Thứ phát — Khởi trị NGAY, không chờ DXA</w:t>
      </w:r>
    </w:p>
    <w:p>
      <w:r>
        <w:t xml:space="preserve">    │         → </w:t>
      </w:r>
      <w:r>
        <w:rPr>
          <w:b/>
        </w:rPr>
        <w:t>Bước 3: Calcium máu thấp hoặc thiếu Vitamin D?</w:t>
      </w:r>
    </w:p>
    <w:p>
      <w:r>
        <w:t xml:space="preserve">    │             ├── CÓ → Bù Calcium + Vitamin D đến khi an toàn → tiếp Bước 4</w:t>
      </w:r>
    </w:p>
    <w:p>
      <w:r>
        <w:t xml:space="preserve">    │             └── KHÔNG → tiếp Bước 4</w:t>
      </w:r>
    </w:p>
    <w:p>
      <w:r>
        <w:t xml:space="preserve">    │         → </w:t>
      </w:r>
      <w:r>
        <w:rPr>
          <w:b/>
        </w:rPr>
        <w:t>Bước 4: Phân tầng nguy cơ</w:t>
      </w:r>
    </w:p>
    <w:p>
      <w:r>
        <w:t xml:space="preserve">    │             ├── Nguy cơ Cao → ✅ Antiresorptive: Bisphosphonate hoặc Denosumab</w:t>
      </w:r>
    </w:p>
    <w:p>
      <w:r>
        <w:t xml:space="preserve">    │             └── Nguy cơ Rất Cao → ✅ Anabolic/Dual-action (Teriparatide/Romosozumab) → BẮT BUỘC nối Antiresorptive</w:t>
      </w:r>
    </w:p>
    <w:p>
      <w:r>
        <w:t xml:space="preserve">    └── KHÔNG → </w:t>
      </w:r>
      <w:r>
        <w:rPr>
          <w:b/>
        </w:rPr>
        <w:t>Bước 2b: Phụ nữ ≥ 65t hoặc có risk factors (USPSTF 2025)?</w:t>
      </w:r>
    </w:p>
    <w:p>
      <w:r>
        <w:t xml:space="preserve">        ├── CÓ → </w:t>
      </w:r>
      <w:r>
        <w:rPr>
          <w:b/>
        </w:rPr>
        <w:t>Bước 3b: Có máy DXA?</w:t>
      </w:r>
    </w:p>
    <w:p>
      <w:r>
        <w:t xml:space="preserve">        │         ├── CÓ — Plan A → ✅ Đo DXA trung tâm (Spine + Hip) → đọc T-score hoặc Z-score → Phân tầng nguy cơ → Điều trị</w:t>
      </w:r>
    </w:p>
    <w:p>
      <w:r>
        <w:t xml:space="preserve">        │         └── KHÔNG — Plan B → ⚠️ Dùng FRAX không BMD → Phân tầng nguy cơ → Điều trị</w:t>
      </w:r>
    </w:p>
    <w:p>
      <w:r>
        <w:t xml:space="preserve">        └── KHÔNG → ✅ Theo dõi định kỳ, tái đánh giá sau 2–3 năm</w:t>
      </w:r>
    </w:p>
    <w:p>
      <w:pPr>
        <w:pStyle w:val="Heading2"/>
      </w:pPr>
      <w:r>
        <w:t>Giải thích Lưu đồ Quyết định từng bước cho Người học:</w:t>
      </w:r>
    </w:p>
    <w:p>
      <w:pPr>
        <w:pStyle w:val="ListNumber"/>
      </w:pPr>
      <w:r>
        <w:rPr>
          <w:b/>
        </w:rPr>
        <w:t>Bước 1 (Sàng lọc Red Flag):</w:t>
      </w:r>
      <w:r>
        <w:t xml:space="preserve"> Tiếp cận bệnh nhân bằng việc kiểm tra ngay các dấu hiệu cấp cứu (đau lưng cấp chèn ép tủy, triệu chứng nghi ngờ u máu myeloma, nghi ngờ gãy đùi AFF). Nếu có, dừng ngay quy trình ngoại trú để chuyển viện cấp cứu.</w:t>
      </w:r>
    </w:p>
    <w:p>
      <w:pPr>
        <w:pStyle w:val="ListNumber"/>
      </w:pPr>
      <w:r>
        <w:rPr>
          <w:b/>
        </w:rPr>
        <w:t>Bước 2 (Xác định biến cố Gãy xương do Lực thấp):</w:t>
      </w:r>
      <w:r>
        <w:t xml:space="preserve"> Nếu bệnh nhân đã gãy xương sau lực thấp, kích hoạt ngay nhánh Phòng ngừa thứ phát. Việc kê đơn và lập kế hoạch điều trị không được bị hoãn lại chỉ vì chưa hẹn được lịch chụp DXA.</w:t>
      </w:r>
    </w:p>
    <w:p>
      <w:pPr>
        <w:pStyle w:val="ListNumber"/>
      </w:pPr>
      <w:r>
        <w:rPr>
          <w:b/>
        </w:rPr>
        <w:t>Bước 3 (Đánh giá Tầm soát theo USPSTF 2025):</w:t>
      </w:r>
      <w:r>
        <w:t xml:space="preserve"> Ở người chưa gãy xương, áp dụng đo DXA trung tâm cho phụ nữ ≥ 65 tuổi hoặc phụ nữ sau mãn kinh có nguy cơ.</w:t>
      </w:r>
    </w:p>
    <w:p>
      <w:pPr>
        <w:pStyle w:val="ListNumber"/>
      </w:pPr>
      <w:r>
        <w:rPr>
          <w:b/>
        </w:rPr>
        <w:t>Bước 4 (Lựa chọn Plan A vs Plan B):</w:t>
      </w:r>
      <w:r>
        <w:t xml:space="preserve"> Nếu có máy DXA (Plan A), đọc chuẩn xác T-score hoặc Z-score theo đúng nhóm tuổi sinh lý. Nếu tuyến cơ sở không có máy DXA (Plan B), sử dụng bảng FRAX không BMD kết hợp đánh giá các yếu tố nguy cơ lâm sàng để ra quyết định.</w:t>
      </w:r>
    </w:p>
    <w:p>
      <w:pPr>
        <w:pStyle w:val="ListNumber"/>
      </w:pPr>
      <w:r>
        <w:rPr>
          <w:b/>
        </w:rPr>
        <w:t>Bước 5 (Kiểm tra An toàn trước Thuốc):</w:t>
      </w:r>
      <w:r>
        <w:t xml:space="preserve"> Mọi nhánh điều trị trước khi kê thuốc chống tiêu xương đường tiêm/truyền bắt buộc phải xác nhận nồng độ Calcium máu và 25(OH)D bình thường.</w:t>
      </w:r>
    </w:p>
    <w:p>
      <w:pPr>
        <w:pStyle w:val="ListNumber"/>
      </w:pPr>
      <w:r>
        <w:rPr>
          <w:b/>
        </w:rPr>
        <w:t>Bước 6 (Phân tầng &amp; Khởi trị):</w:t>
      </w:r>
      <w:r>
        <w:t xml:space="preserve"> Lựa chọn Antiresorptive cho nhóm nguy cơ cao và chiến lược Nối tiếp (Anabolic → Antiresorptive) cho nhóm nguy cơ rất cao.</w:t>
      </w:r>
    </w:p>
    <w:p/>
    <w:p>
      <w:pPr>
        <w:pStyle w:val="Heading1"/>
      </w:pPr>
      <w:r>
        <w:t>7. SAI LẦM THƯỜNG GẶP — LÂM SÀNG [CỐT LÕI]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 lâm sàng phổ biến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 nghiêm trọng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phòng tránh đúng quy chuẩn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Trì hoãn khởi trị thuốc chống loãng xương ở bệnh nhân vừa gãy cổ xương đùi để chờ chụp DXA</w:t>
            </w:r>
          </w:p>
        </w:tc>
        <w:tc>
          <w:tcPr>
            <w:tcW w:type="dxa" w:w="2160"/>
            <w:tcBorders>
              <w:top w:val="single" w:sz="4" w:color="000000"/>
              <w:left w:val="single" w:sz="4" w:color="000000"/>
              <w:bottom w:val="single" w:sz="4" w:color="000000"/>
              <w:right w:val="single" w:sz="4" w:color="000000"/>
            </w:tcBorders>
          </w:tcPr>
          <w:p>
            <w:r/>
            <w:r>
              <w:t>Bệnh nhân bỏ lỡ thời điểm vàng phòng ngừa gãy xương thứ phát, gia tăng nguy cơ gãy thêm xương mới trong 1 năm đầu</w:t>
            </w:r>
          </w:p>
        </w:tc>
        <w:tc>
          <w:tcPr>
            <w:tcW w:type="dxa" w:w="2160"/>
            <w:tcBorders>
              <w:top w:val="single" w:sz="4" w:color="000000"/>
              <w:left w:val="single" w:sz="4" w:color="000000"/>
              <w:bottom w:val="single" w:sz="4" w:color="000000"/>
              <w:right w:val="single" w:sz="4" w:color="000000"/>
            </w:tcBorders>
          </w:tcPr>
          <w:p>
            <w:r/>
            <w:r>
              <w:t>Khởi trị phòng ngừa thứ phát ngay khi tình trạng gãy xương cấp ổn định; DXA chỉ dùng làm mốc theo dõi sau này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Đọc T-score để chẩn đoán loãng xương ở phụ nữ trước mãn kinh hoặc nam giới dưới 50 tuổi</w:t>
            </w:r>
          </w:p>
        </w:tc>
        <w:tc>
          <w:tcPr>
            <w:tcW w:type="dxa" w:w="2160"/>
            <w:tcBorders>
              <w:top w:val="single" w:sz="4" w:color="000000"/>
              <w:left w:val="single" w:sz="4" w:color="000000"/>
              <w:bottom w:val="single" w:sz="4" w:color="000000"/>
              <w:right w:val="single" w:sz="4" w:color="000000"/>
            </w:tcBorders>
          </w:tcPr>
          <w:p>
            <w:r/>
            <w:r>
              <w:t>Chẩn đoán quá mức (overdiagnosis), gây hoang mang cho bệnh nhân và chỉ định thuốc chống tiêu xương sai đối tượng</w:t>
            </w:r>
          </w:p>
        </w:tc>
        <w:tc>
          <w:tcPr>
            <w:tcW w:type="dxa" w:w="2160"/>
            <w:tcBorders>
              <w:top w:val="single" w:sz="4" w:color="000000"/>
              <w:left w:val="single" w:sz="4" w:color="000000"/>
              <w:bottom w:val="single" w:sz="4" w:color="000000"/>
              <w:right w:val="single" w:sz="4" w:color="000000"/>
            </w:tcBorders>
          </w:tcPr>
          <w:p>
            <w:r/>
            <w:r>
              <w:t xml:space="preserve">Bắt buộc dùng </w:t>
            </w:r>
            <w:r>
              <w:rPr>
                <w:b/>
              </w:rPr>
              <w:t>Z-score</w:t>
            </w:r>
            <w:r>
              <w:t xml:space="preserve"> cho nhóm tuổi này. Khi Z-score ≤ −2.0, tập trung tìm kiếm nguyên nhân thứ phát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Tự ý ngưng Denosumab đột ngột hoặc cho bệnh nhân "nghỉ thuốc" (drug holiday) như Bisphosphonate</w:t>
            </w:r>
          </w:p>
        </w:tc>
        <w:tc>
          <w:tcPr>
            <w:tcW w:type="dxa" w:w="2160"/>
            <w:tcBorders>
              <w:top w:val="single" w:sz="4" w:color="000000"/>
              <w:left w:val="single" w:sz="4" w:color="000000"/>
              <w:bottom w:val="single" w:sz="4" w:color="000000"/>
              <w:right w:val="single" w:sz="4" w:color="000000"/>
            </w:tcBorders>
          </w:tcPr>
          <w:p>
            <w:r/>
            <w:r>
              <w:t>Gây ra hiện tượng tăng tiêu xương dội ngược nghiêm trọng, dẫn đến gãy nhiều đốt sống cấp tính</w:t>
            </w:r>
          </w:p>
        </w:tc>
        <w:tc>
          <w:tcPr>
            <w:tcW w:type="dxa" w:w="2160"/>
            <w:tcBorders>
              <w:top w:val="single" w:sz="4" w:color="000000"/>
              <w:left w:val="single" w:sz="4" w:color="000000"/>
              <w:bottom w:val="single" w:sz="4" w:color="000000"/>
              <w:right w:val="single" w:sz="4" w:color="000000"/>
            </w:tcBorders>
          </w:tcPr>
          <w:p>
            <w:r/>
            <w:r>
              <w:rPr>
                <w:b/>
              </w:rPr>
              <w:t>Tuyệt đối không áp dụng drug holiday cho Denosumab</w:t>
            </w:r>
            <w:r>
              <w:t>. Nếu dừng Denosumab, bắt buộc phải nối tiếp ngay bằng Bisphosphonate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Tiêm Zoledronic acid hoặc Denosumab mà không kiểm tra xét nghiệm Calcium máu trước</w:t>
            </w:r>
          </w:p>
        </w:tc>
        <w:tc>
          <w:tcPr>
            <w:tcW w:type="dxa" w:w="2160"/>
            <w:tcBorders>
              <w:top w:val="single" w:sz="4" w:color="000000"/>
              <w:left w:val="single" w:sz="4" w:color="000000"/>
              <w:bottom w:val="single" w:sz="4" w:color="000000"/>
              <w:right w:val="single" w:sz="4" w:color="000000"/>
            </w:tcBorders>
          </w:tcPr>
          <w:p>
            <w:r/>
            <w:r>
              <w:t>Nguy cơ gây ra biến cố hạ calcium máu cấp tính trầm trọng (co quắp cơ, loạn nhịp tim)</w:t>
            </w:r>
          </w:p>
        </w:tc>
        <w:tc>
          <w:tcPr>
            <w:tcW w:type="dxa" w:w="2160"/>
            <w:tcBorders>
              <w:top w:val="single" w:sz="4" w:color="000000"/>
              <w:left w:val="single" w:sz="4" w:color="000000"/>
              <w:bottom w:val="single" w:sz="4" w:color="000000"/>
              <w:right w:val="single" w:sz="4" w:color="000000"/>
            </w:tcBorders>
          </w:tcPr>
          <w:p>
            <w:r/>
            <w:r>
              <w:t>Bắt buộc xét nghiệm Calcium máu và 25(OH)D trước khi tiêm/truyền; bù đủ Calcium/Vitamin D trước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Cho xét nghiệm 25(OH)D máu đại trà cho tất cả người khỏe mạnh đi khám sức khỏe</w:t>
            </w:r>
          </w:p>
        </w:tc>
        <w:tc>
          <w:tcPr>
            <w:tcW w:type="dxa" w:w="2160"/>
            <w:tcBorders>
              <w:top w:val="single" w:sz="4" w:color="000000"/>
              <w:left w:val="single" w:sz="4" w:color="000000"/>
              <w:bottom w:val="single" w:sz="4" w:color="000000"/>
              <w:right w:val="single" w:sz="4" w:color="000000"/>
            </w:tcBorders>
          </w:tcPr>
          <w:p>
            <w:r/>
            <w:r>
              <w:t>Gây tốn kém chi phí y tế không cần thiết mà không cải thiện kết quả giảm gãy xương ở quần thể khỏe mạnh</w:t>
            </w:r>
          </w:p>
        </w:tc>
        <w:tc>
          <w:tcPr>
            <w:tcW w:type="dxa" w:w="2160"/>
            <w:tcBorders>
              <w:top w:val="single" w:sz="4" w:color="000000"/>
              <w:left w:val="single" w:sz="4" w:color="000000"/>
              <w:bottom w:val="single" w:sz="4" w:color="000000"/>
              <w:right w:val="single" w:sz="4" w:color="000000"/>
            </w:tcBorders>
          </w:tcPr>
          <w:p>
            <w:r/>
            <w:r>
              <w:t>Áp dụng khuyến cáo Endocrine Society 2024: Chỉ đo 25(OH)D khi có chỉ định lâm sàng (nghi mềm xương, bệnh thận, kém hấp thu, trước thuốc mạnh)</w:t>
            </w:r>
          </w:p>
        </w:tc>
      </w:tr>
    </w:tbl>
    <w:p/>
    <w:p>
      <w:pPr>
        <w:pStyle w:val="Heading1"/>
      </w:pPr>
      <w:r>
        <w:t>8. BẢNG THUỐC VÀ CÁCH DÙNG [THAM KHẢO]</w:t>
      </w:r>
    </w:p>
    <w:p>
      <w:r>
        <w:rPr>
          <w:i/>
        </w:rPr>
        <w:t>(Liều dùng cụ thể xem Phác đồ mẫu section 5.6. Bảng này tóm tắt chỉ định, CCĐ và theo dõi an toàn.)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Tên Thuốc</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Đường dùng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Chỉ định Lâm sàng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Chống chỉ định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Ghi chú An toàn &amp; Theo dõi Bắt buộc</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Alendronate</w:t>
            </w:r>
          </w:p>
        </w:tc>
        <w:tc>
          <w:tcPr>
            <w:tcW w:type="dxa" w:w="1728"/>
            <w:tcBorders>
              <w:top w:val="single" w:sz="4" w:color="000000"/>
              <w:left w:val="single" w:sz="4" w:color="000000"/>
              <w:bottom w:val="single" w:sz="4" w:color="000000"/>
              <w:right w:val="single" w:sz="4" w:color="000000"/>
            </w:tcBorders>
          </w:tcPr>
          <w:p>
            <w:r/>
            <w:r>
              <w:t>Đường uống</w:t>
            </w:r>
          </w:p>
        </w:tc>
        <w:tc>
          <w:tcPr>
            <w:tcW w:type="dxa" w:w="1728"/>
            <w:tcBorders>
              <w:top w:val="single" w:sz="4" w:color="000000"/>
              <w:left w:val="single" w:sz="4" w:color="000000"/>
              <w:bottom w:val="single" w:sz="4" w:color="000000"/>
              <w:right w:val="single" w:sz="4" w:color="000000"/>
            </w:tcBorders>
          </w:tcPr>
          <w:p>
            <w:r/>
            <w:r>
              <w:t>Loãng xương sau mãn kinh, loãng xương ở nam giới, loãng xương do glucocorticoid</w:t>
            </w:r>
          </w:p>
        </w:tc>
        <w:tc>
          <w:tcPr>
            <w:tcW w:type="dxa" w:w="1728"/>
            <w:tcBorders>
              <w:top w:val="single" w:sz="4" w:color="000000"/>
              <w:left w:val="single" w:sz="4" w:color="000000"/>
              <w:bottom w:val="single" w:sz="4" w:color="000000"/>
              <w:right w:val="single" w:sz="4" w:color="000000"/>
            </w:tcBorders>
          </w:tcPr>
          <w:p>
            <w:r/>
            <w:r>
              <w:t>Hẹp thực quản, không thể ngồi/đứng thẳng trong 30 phút, eGFR &lt; 35 mL/phút, hạ calcium máu</w:t>
            </w:r>
          </w:p>
        </w:tc>
        <w:tc>
          <w:tcPr>
            <w:tcW w:type="dxa" w:w="1728"/>
            <w:tcBorders>
              <w:top w:val="single" w:sz="4" w:color="000000"/>
              <w:left w:val="single" w:sz="4" w:color="000000"/>
              <w:bottom w:val="single" w:sz="4" w:color="000000"/>
              <w:right w:val="single" w:sz="4" w:color="000000"/>
            </w:tcBorders>
          </w:tcPr>
          <w:p>
            <w:r/>
            <w:r>
              <w:t>Uống lúc đói vào buổi sáng với nước lọc đầy; không nằm sau uống 30 phút. Theo dõi triệu chứng thực quản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Risedronate</w:t>
            </w:r>
          </w:p>
        </w:tc>
        <w:tc>
          <w:tcPr>
            <w:tcW w:type="dxa" w:w="1728"/>
            <w:tcBorders>
              <w:top w:val="single" w:sz="4" w:color="000000"/>
              <w:left w:val="single" w:sz="4" w:color="000000"/>
              <w:bottom w:val="single" w:sz="4" w:color="000000"/>
              <w:right w:val="single" w:sz="4" w:color="000000"/>
            </w:tcBorders>
          </w:tcPr>
          <w:p>
            <w:r/>
            <w:r>
              <w:t>Đường uống</w:t>
            </w:r>
          </w:p>
        </w:tc>
        <w:tc>
          <w:tcPr>
            <w:tcW w:type="dxa" w:w="1728"/>
            <w:tcBorders>
              <w:top w:val="single" w:sz="4" w:color="000000"/>
              <w:left w:val="single" w:sz="4" w:color="000000"/>
              <w:bottom w:val="single" w:sz="4" w:color="000000"/>
              <w:right w:val="single" w:sz="4" w:color="000000"/>
            </w:tcBorders>
          </w:tcPr>
          <w:p>
            <w:r/>
            <w:r>
              <w:t>Loãng xương sau mãn kinh, loãng xương do glucocorticoid</w:t>
            </w:r>
          </w:p>
        </w:tc>
        <w:tc>
          <w:tcPr>
            <w:tcW w:type="dxa" w:w="1728"/>
            <w:tcBorders>
              <w:top w:val="single" w:sz="4" w:color="000000"/>
              <w:left w:val="single" w:sz="4" w:color="000000"/>
              <w:bottom w:val="single" w:sz="4" w:color="000000"/>
              <w:right w:val="single" w:sz="4" w:color="000000"/>
            </w:tcBorders>
          </w:tcPr>
          <w:p>
            <w:r/>
            <w:r>
              <w:t>Tương tự Alendronate, eGFR &lt; 30 mL/phút, hạ calcium máu</w:t>
            </w:r>
          </w:p>
        </w:tc>
        <w:tc>
          <w:tcPr>
            <w:tcW w:type="dxa" w:w="1728"/>
            <w:tcBorders>
              <w:top w:val="single" w:sz="4" w:color="000000"/>
              <w:left w:val="single" w:sz="4" w:color="000000"/>
              <w:bottom w:val="single" w:sz="4" w:color="000000"/>
              <w:right w:val="single" w:sz="4" w:color="000000"/>
            </w:tcBorders>
          </w:tcPr>
          <w:p>
            <w:r/>
            <w:r>
              <w:t>Tuân thủ nghiêm ngặt kỹ thuật uống thuốc lúc đói để bảo vệ niêm mạc thực quản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Zoledronic acid</w:t>
            </w:r>
          </w:p>
        </w:tc>
        <w:tc>
          <w:tcPr>
            <w:tcW w:type="dxa" w:w="1728"/>
            <w:tcBorders>
              <w:top w:val="single" w:sz="4" w:color="000000"/>
              <w:left w:val="single" w:sz="4" w:color="000000"/>
              <w:bottom w:val="single" w:sz="4" w:color="000000"/>
              <w:right w:val="single" w:sz="4" w:color="000000"/>
            </w:tcBorders>
          </w:tcPr>
          <w:p>
            <w:r/>
            <w:r>
              <w:t>Truyền tĩnh mạch</w:t>
            </w:r>
          </w:p>
        </w:tc>
        <w:tc>
          <w:tcPr>
            <w:tcW w:type="dxa" w:w="1728"/>
            <w:tcBorders>
              <w:top w:val="single" w:sz="4" w:color="000000"/>
              <w:left w:val="single" w:sz="4" w:color="000000"/>
              <w:bottom w:val="single" w:sz="4" w:color="000000"/>
              <w:right w:val="single" w:sz="4" w:color="000000"/>
            </w:tcBorders>
          </w:tcPr>
          <w:p>
            <w:r/>
            <w:r>
              <w:t>Loãng xương nguy cơ cao, phòng ngừa gãy xương sau gãy hông, không uống được bisphosphonate</w:t>
            </w:r>
          </w:p>
        </w:tc>
        <w:tc>
          <w:tcPr>
            <w:tcW w:type="dxa" w:w="1728"/>
            <w:tcBorders>
              <w:top w:val="single" w:sz="4" w:color="000000"/>
              <w:left w:val="single" w:sz="4" w:color="000000"/>
              <w:bottom w:val="single" w:sz="4" w:color="000000"/>
              <w:right w:val="single" w:sz="4" w:color="000000"/>
            </w:tcBorders>
          </w:tcPr>
          <w:p>
            <w:r/>
            <w:r>
              <w:t>Hạ calcium máu chưa điều trị, eGFR &lt; 35 mL/phút, có thai/cho con bú</w:t>
            </w:r>
          </w:p>
        </w:tc>
        <w:tc>
          <w:tcPr>
            <w:tcW w:type="dxa" w:w="1728"/>
            <w:tcBorders>
              <w:top w:val="single" w:sz="4" w:color="000000"/>
              <w:left w:val="single" w:sz="4" w:color="000000"/>
              <w:bottom w:val="single" w:sz="4" w:color="000000"/>
              <w:right w:val="single" w:sz="4" w:color="000000"/>
            </w:tcBorders>
          </w:tcPr>
          <w:p>
            <w:r/>
            <w:r>
              <w:t>Bắt buộc bù Calcium và Vitamin D trước truyền. Theo dõi phản ứng giả cúm sau truyền (sốt, đau cơ)</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Denosumab</w:t>
            </w:r>
          </w:p>
        </w:tc>
        <w:tc>
          <w:tcPr>
            <w:tcW w:type="dxa" w:w="1728"/>
            <w:tcBorders>
              <w:top w:val="single" w:sz="4" w:color="000000"/>
              <w:left w:val="single" w:sz="4" w:color="000000"/>
              <w:bottom w:val="single" w:sz="4" w:color="000000"/>
              <w:right w:val="single" w:sz="4" w:color="000000"/>
            </w:tcBorders>
          </w:tcPr>
          <w:p>
            <w:r/>
            <w:r>
              <w:t>Tiêm dưới da</w:t>
            </w:r>
          </w:p>
        </w:tc>
        <w:tc>
          <w:tcPr>
            <w:tcW w:type="dxa" w:w="1728"/>
            <w:tcBorders>
              <w:top w:val="single" w:sz="4" w:color="000000"/>
              <w:left w:val="single" w:sz="4" w:color="000000"/>
              <w:bottom w:val="single" w:sz="4" w:color="000000"/>
              <w:right w:val="single" w:sz="4" w:color="000000"/>
            </w:tcBorders>
          </w:tcPr>
          <w:p>
            <w:r/>
            <w:r>
              <w:t>Loãng xương nguy cơ cao, bệnh nhân suy thận không dùng được Bisphosphonate</w:t>
            </w:r>
          </w:p>
        </w:tc>
        <w:tc>
          <w:tcPr>
            <w:tcW w:type="dxa" w:w="1728"/>
            <w:tcBorders>
              <w:top w:val="single" w:sz="4" w:color="000000"/>
              <w:left w:val="single" w:sz="4" w:color="000000"/>
              <w:bottom w:val="single" w:sz="4" w:color="000000"/>
              <w:right w:val="single" w:sz="4" w:color="000000"/>
            </w:tcBorders>
          </w:tcPr>
          <w:p>
            <w:r/>
            <w:r>
              <w:t>Hạ calcium máu chưa điều trị</w:t>
            </w:r>
          </w:p>
        </w:tc>
        <w:tc>
          <w:tcPr>
            <w:tcW w:type="dxa" w:w="1728"/>
            <w:tcBorders>
              <w:top w:val="single" w:sz="4" w:color="000000"/>
              <w:left w:val="single" w:sz="4" w:color="000000"/>
              <w:bottom w:val="single" w:sz="4" w:color="000000"/>
              <w:right w:val="single" w:sz="4" w:color="000000"/>
            </w:tcBorders>
          </w:tcPr>
          <w:p>
            <w:r/>
            <w:r>
              <w:rPr>
                <w:b/>
              </w:rPr>
              <w:t>Không được hoãn/ngừng thuốc không kế hoạch</w:t>
            </w:r>
            <w:r>
              <w:t>. Phải lập kế hoạch dùng Bisphosphonate nối tiếp nếu dừng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Teriparatide</w:t>
            </w:r>
          </w:p>
        </w:tc>
        <w:tc>
          <w:tcPr>
            <w:tcW w:type="dxa" w:w="1728"/>
            <w:tcBorders>
              <w:top w:val="single" w:sz="4" w:color="000000"/>
              <w:left w:val="single" w:sz="4" w:color="000000"/>
              <w:bottom w:val="single" w:sz="4" w:color="000000"/>
              <w:right w:val="single" w:sz="4" w:color="000000"/>
            </w:tcBorders>
          </w:tcPr>
          <w:p>
            <w:r/>
            <w:r>
              <w:t>Tiêm dưới da</w:t>
            </w:r>
          </w:p>
        </w:tc>
        <w:tc>
          <w:tcPr>
            <w:tcW w:type="dxa" w:w="1728"/>
            <w:tcBorders>
              <w:top w:val="single" w:sz="4" w:color="000000"/>
              <w:left w:val="single" w:sz="4" w:color="000000"/>
              <w:bottom w:val="single" w:sz="4" w:color="000000"/>
              <w:right w:val="single" w:sz="4" w:color="000000"/>
            </w:tcBorders>
          </w:tcPr>
          <w:p>
            <w:r/>
            <w:r>
              <w:t>Loãng xương nguy cơ rất cao, thất bại điều trị antiresorptive, gãy nhiều đốt sống</w:t>
            </w:r>
          </w:p>
        </w:tc>
        <w:tc>
          <w:tcPr>
            <w:tcW w:type="dxa" w:w="1728"/>
            <w:tcBorders>
              <w:top w:val="single" w:sz="4" w:color="000000"/>
              <w:left w:val="single" w:sz="4" w:color="000000"/>
              <w:bottom w:val="single" w:sz="4" w:color="000000"/>
              <w:right w:val="single" w:sz="4" w:color="000000"/>
            </w:tcBorders>
          </w:tcPr>
          <w:p>
            <w:r/>
            <w:r>
              <w:t>Tăng calcium máu, bệnh Paget xương, tiền sử xạ trị xương, ung thư xương</w:t>
            </w:r>
          </w:p>
        </w:tc>
        <w:tc>
          <w:tcPr>
            <w:tcW w:type="dxa" w:w="1728"/>
            <w:tcBorders>
              <w:top w:val="single" w:sz="4" w:color="000000"/>
              <w:left w:val="single" w:sz="4" w:color="000000"/>
              <w:bottom w:val="single" w:sz="4" w:color="000000"/>
              <w:right w:val="single" w:sz="4" w:color="000000"/>
            </w:tcBorders>
          </w:tcPr>
          <w:p>
            <w:r/>
            <w:r>
              <w:t>Thời gian dùng tối đa 18-24 tháng trong đời. Sau khi ngưng bắt buộc nối tiếp bằng thuốc antiresorptive</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Romosozumab</w:t>
            </w:r>
          </w:p>
        </w:tc>
        <w:tc>
          <w:tcPr>
            <w:tcW w:type="dxa" w:w="1728"/>
            <w:tcBorders>
              <w:top w:val="single" w:sz="4" w:color="000000"/>
              <w:left w:val="single" w:sz="4" w:color="000000"/>
              <w:bottom w:val="single" w:sz="4" w:color="000000"/>
              <w:right w:val="single" w:sz="4" w:color="000000"/>
            </w:tcBorders>
          </w:tcPr>
          <w:p>
            <w:r/>
            <w:r>
              <w:t>Tiêm dưới da</w:t>
            </w:r>
          </w:p>
        </w:tc>
        <w:tc>
          <w:tcPr>
            <w:tcW w:type="dxa" w:w="1728"/>
            <w:tcBorders>
              <w:top w:val="single" w:sz="4" w:color="000000"/>
              <w:left w:val="single" w:sz="4" w:color="000000"/>
              <w:bottom w:val="single" w:sz="4" w:color="000000"/>
              <w:right w:val="single" w:sz="4" w:color="000000"/>
            </w:tcBorders>
          </w:tcPr>
          <w:p>
            <w:r/>
            <w:r>
              <w:t>Loãng xương nguy cơ rất cao có tiền sử gãy xương nặng</w:t>
            </w:r>
          </w:p>
        </w:tc>
        <w:tc>
          <w:tcPr>
            <w:tcW w:type="dxa" w:w="1728"/>
            <w:tcBorders>
              <w:top w:val="single" w:sz="4" w:color="000000"/>
              <w:left w:val="single" w:sz="4" w:color="000000"/>
              <w:bottom w:val="single" w:sz="4" w:color="000000"/>
              <w:right w:val="single" w:sz="4" w:color="000000"/>
            </w:tcBorders>
          </w:tcPr>
          <w:p>
            <w:r/>
            <w:r>
              <w:t>Tiền sử nhồi máu cơ tim hoặc đột quỵ trong vòng 1 năm qua, hạ calcium máu</w:t>
            </w:r>
          </w:p>
        </w:tc>
        <w:tc>
          <w:tcPr>
            <w:tcW w:type="dxa" w:w="1728"/>
            <w:tcBorders>
              <w:top w:val="single" w:sz="4" w:color="000000"/>
              <w:left w:val="single" w:sz="4" w:color="000000"/>
              <w:bottom w:val="single" w:sz="4" w:color="000000"/>
              <w:right w:val="single" w:sz="4" w:color="000000"/>
            </w:tcBorders>
          </w:tcPr>
          <w:p>
            <w:r/>
            <w:r>
              <w:t>Thời gian dùng tối đa 12 tháng. Kiểm tra kỹ tiền sử tim mạch trước khi chỉ định</w:t>
            </w:r>
          </w:p>
        </w:tc>
      </w:tr>
    </w:tbl>
    <w:p>
      <w:pPr>
        <w:pStyle w:val="Heading2"/>
      </w:pPr>
      <w:r>
        <w:t>Giải thích chi tiết cho người mới học:</w:t>
      </w:r>
    </w:p>
    <w:p>
      <w:pPr>
        <w:pStyle w:val="ListBullet"/>
      </w:pPr>
      <w:r>
        <w:rPr>
          <w:b/>
        </w:rPr>
        <w:t>Vì sao Bisphosphonate uống đòi hỏi quy trình khắt khe?</w:t>
      </w:r>
      <w:r>
        <w:t xml:space="preserve"> Do tỷ lệ hấp thu qua đường tiêu hóa của bisphosphonate cực kỳ thấp (&lt; 1%) và thuốc có tính chất kích ứng niêm mạc rất mạnh. Nếu bệnh nhân nằm ngay sau khi uống, viên thuốc có thể đọng lại ở thực quản gây loét và thủng thực quản.</w:t>
      </w:r>
    </w:p>
    <w:p>
      <w:pPr>
        <w:pStyle w:val="ListBullet"/>
      </w:pPr>
      <w:r>
        <w:rPr>
          <w:b/>
        </w:rPr>
        <w:t>Vì sao suy thận nặng không dùng được Bisphosphonate?</w:t>
      </w:r>
      <w:r>
        <w:t xml:space="preserve"> Bisphosphonate thải trừ hoàn toàn qua lọc cầu thận dưới dạng không đổi. Khi eGFR &lt; 30–35 mL/phút, thuốc sẽ tích lũy gây độc cho tế bào ống thận.</w:t>
      </w:r>
    </w:p>
    <w:p>
      <w:pPr>
        <w:pStyle w:val="ListBullet"/>
      </w:pPr>
      <w:r>
        <w:rPr>
          <w:b/>
        </w:rPr>
        <w:t>Vì sao Denosumab dùng được cho bệnh nhân suy thận?</w:t>
      </w:r>
      <w:r>
        <w:t xml:space="preserve"> Denosumab là một kháng thể đơn dòng (IgG2), được thải trừ qua hệ thống lưới nội mô (reticuloendothelial system) thông qua sự phân hủy đại thực bào, không phụ thuộc vào chức năng lọc của thận.</w:t>
      </w:r>
    </w:p>
    <w:p/>
    <w:p>
      <w:pPr>
        <w:pStyle w:val="Heading1"/>
      </w:pPr>
      <w:r>
        <w:t>9. ÁP DỤNG TẠI VIỆT NAM [CỐT LÕI]</w:t>
      </w:r>
    </w:p>
    <w:p>
      <w:pPr>
        <w:pStyle w:val="Heading2"/>
      </w:pPr>
      <w:r>
        <w:t>9.1 Thực trạng Tiếp cận Cận lâm sàng và Thuốc tại Việt Nam</w:t>
      </w:r>
    </w:p>
    <w:p>
      <w:pPr>
        <w:pStyle w:val="ListBullet"/>
      </w:pPr>
      <w:r>
        <w:rPr>
          <w:b/>
        </w:rPr>
        <w:t>Máy đo DXA trung tâm:</w:t>
      </w:r>
      <w:r>
        <w:t xml:space="preserve"> Hiện nay các máy đo DXA chuẩn mực đa số chỉ tập trung tại các bệnh viện tuyến tỉnh, bệnh viện chuyên khoa hoặc các trung tâm y tế lớn ở thành phố. Các tuyến y tế cơ sở (trạm y tế, trung tâm y tế huyện) hầu như chưa được trang bị máy DXA.</w:t>
      </w:r>
    </w:p>
    <w:p>
      <w:pPr>
        <w:pStyle w:val="ListBullet"/>
      </w:pPr>
      <w:r>
        <w:rPr>
          <w:b/>
        </w:rPr>
        <w:t>Tình trạng lạm dụng Siêu âm gót chân (QUS):</w:t>
      </w:r>
      <w:r>
        <w:t xml:space="preserve"> Tại nhiều phòng khám tuyến dưới, máy siêu âm định lượng gót chân (QUS) thường được sử dụng phổ biến. Bác sĩ cần lưu ý: </w:t>
      </w:r>
      <w:r>
        <w:rPr>
          <w:b/>
        </w:rPr>
        <w:t>QUS chỉ có giá trị tầm soát nguy cơ, tuyệt đối không được dùng QUS để chẩn đoán xác định loãng xương hoặc dùng QUS để theo dõi đáp ứng điều trị thuốc</w:t>
      </w:r>
      <w:r>
        <w:t>.</w:t>
      </w:r>
    </w:p>
    <w:p>
      <w:pPr>
        <w:pStyle w:val="ListBullet"/>
      </w:pPr>
      <w:r>
        <w:rPr>
          <w:b/>
        </w:rPr>
        <w:t>Thuốc sẵn có:</w:t>
      </w:r>
      <w:r>
        <w:t xml:space="preserve"> Các bisphosphonate đường uống (Alendronate, Risedronate) và đường truyền (Zoledronic acid) khá phổ biến và được Bảo hiểm Y tế (BHYT) chi trả theo đúng tuyến. Denosumab và Teriparatide đã có mặt tại Việt Nam nhưng chi phí còn cao và quy định thanh toán BHYT có các tiêu chuẩn khắt khe.</w:t>
      </w:r>
    </w:p>
    <w:p>
      <w:pPr>
        <w:pStyle w:val="Heading2"/>
      </w:pPr>
      <w:r>
        <w:t>9.2 Khai thác hiệu quả Kịch bản Plan A và Plan B</w:t>
      </w:r>
    </w:p>
    <w:p>
      <w:pPr>
        <w:ind w:left="567"/>
      </w:pPr>
      <w:r>
        <w:rPr>
          <w:i/>
        </w:rPr>
        <w:t xml:space="preserve">📋 </w:t>
      </w:r>
      <w:r>
        <w:rPr>
          <w:b/>
          <w:i/>
        </w:rPr>
        <w:t>KỊCH BẢN PLAN A (Tuyến Y tế có đầy đủ Nguồn lực — Máy DXA trung tâm):</w:t>
      </w:r>
    </w:p>
    <w:p>
      <w:pPr>
        <w:ind w:left="567"/>
      </w:pPr>
      <w:r>
        <w:rPr>
          <w:i/>
        </w:rPr>
        <w:t>1. Cho bệnh nhân chụp DXA trung tâm tại Cột sống thắt lưng và Cổ xương đùi/Toàn bộ hông.</w:t>
      </w:r>
    </w:p>
    <w:p>
      <w:pPr>
        <w:ind w:left="567"/>
      </w:pPr>
      <w:r>
        <w:rPr>
          <w:i/>
        </w:rPr>
        <w:t>2. Đọc chuẩn xác T-score (với phụ nữ sau mãn kinh / nam $\ge 50$t) hoặc Z-score (với phụ nữ trước mãn kinh / nam $&lt; 50$t).</w:t>
      </w:r>
    </w:p>
    <w:p>
      <w:pPr>
        <w:ind w:left="567"/>
      </w:pPr>
      <w:r>
        <w:rPr>
          <w:i/>
        </w:rPr>
        <w:t>3. Làm đầy đủ bilan xét nghiệm nguyên nhân thứ phát (Calcium, Phosphat, Creatinine, 25(OH)D, PTH).</w:t>
      </w:r>
    </w:p>
    <w:p>
      <w:pPr>
        <w:ind w:left="567"/>
      </w:pPr>
      <w:r>
        <w:rPr>
          <w:i/>
        </w:rPr>
        <w:t>4. Phân tầng nguy cơ gãy xương và khởi trị thuốc tối ưu (Bisphosphonate/Denosumab/Teriparatide).</w:t>
      </w:r>
    </w:p>
    <w:p>
      <w:pPr>
        <w:ind w:left="567"/>
      </w:pPr>
      <w:r>
        <w:rPr>
          <w:i/>
        </w:rPr>
        <w:t xml:space="preserve">📋 </w:t>
      </w:r>
      <w:r>
        <w:rPr>
          <w:b/>
          <w:i/>
        </w:rPr>
        <w:t>KỊCH BẢN PLAN B (Tuyến Y tế Cơ sở — KHÔNG có Máy DXA trung tâm):</w:t>
      </w:r>
    </w:p>
    <w:p>
      <w:pPr>
        <w:ind w:left="567"/>
      </w:pPr>
      <w:r>
        <w:rPr>
          <w:i/>
        </w:rPr>
        <w:t xml:space="preserve">1. </w:t>
      </w:r>
      <w:r>
        <w:rPr>
          <w:b/>
          <w:i/>
        </w:rPr>
        <w:t>Nhận diện Gãy xương do Lực thấp:</w:t>
      </w:r>
      <w:r>
        <w:rPr>
          <w:i/>
        </w:rPr>
        <w:t xml:space="preserve"> Nếu bệnh nhân $&gt; 50$ tuổi bị gãy hông hoặc gãy đốt sống sau chấn thương nhẹ $\rightarrow$ </w:t>
      </w:r>
      <w:r>
        <w:rPr>
          <w:b/>
          <w:i/>
        </w:rPr>
        <w:t>Chẩn đoán lâm sàng Loãng xương nặng</w:t>
      </w:r>
      <w:r>
        <w:rPr>
          <w:i/>
        </w:rPr>
        <w:t>, khởi trị ngay thuốc chống loãng xương (Alendronate/Risedronate) mà không cần chờ chụp DXA.</w:t>
      </w:r>
    </w:p>
    <w:p>
      <w:pPr>
        <w:ind w:left="567"/>
      </w:pPr>
      <w:r>
        <w:rPr>
          <w:i/>
        </w:rPr>
        <w:t xml:space="preserve">2. </w:t>
      </w:r>
      <w:r>
        <w:rPr>
          <w:b/>
          <w:i/>
        </w:rPr>
        <w:t>Sử dụng Bảng FRAX không BMD:</w:t>
      </w:r>
      <w:r>
        <w:rPr>
          <w:i/>
        </w:rPr>
        <w:t xml:space="preserve"> Nhập đầy đủ 11 yếu tố nguy cơ lâm sàng vào công cụ FRAX (chọn Model FRAX phù hợp) để ước tính xác suất gãy xương 10 năm.</w:t>
      </w:r>
    </w:p>
    <w:p>
      <w:pPr>
        <w:ind w:left="567"/>
      </w:pPr>
      <w:r>
        <w:rPr>
          <w:i/>
        </w:rPr>
        <w:t xml:space="preserve">3. </w:t>
      </w:r>
      <w:r>
        <w:rPr>
          <w:b/>
          <w:i/>
        </w:rPr>
        <w:t>Tầm soát nguyên nhân thứ phát bằng xét nghiệm cơ bản:</w:t>
      </w:r>
      <w:r>
        <w:rPr>
          <w:i/>
        </w:rPr>
        <w:t xml:space="preserve"> Định lượng Calcium máu, Creatinine máu, công thức máu tại phòng xét nghiệm tuyến huyện.</w:t>
      </w:r>
    </w:p>
    <w:p>
      <w:pPr>
        <w:ind w:left="567"/>
      </w:pPr>
      <w:r>
        <w:rPr>
          <w:i/>
        </w:rPr>
        <w:t xml:space="preserve">4. </w:t>
      </w:r>
      <w:r>
        <w:rPr>
          <w:b/>
          <w:i/>
        </w:rPr>
        <w:t>Bảo đảm nền tảng an toàn:</w:t>
      </w:r>
      <w:r>
        <w:rPr>
          <w:i/>
        </w:rPr>
        <w:t xml:space="preserve"> Cho bệnh nhân bổ sung đủ Calcium qua khẩu phần ăn + uống viên Calcium/Vitamin D.</w:t>
      </w:r>
    </w:p>
    <w:p>
      <w:pPr>
        <w:ind w:left="567"/>
      </w:pPr>
      <w:r>
        <w:rPr>
          <w:i/>
        </w:rPr>
        <w:t xml:space="preserve">5. </w:t>
      </w:r>
      <w:r>
        <w:rPr>
          <w:b/>
          <w:i/>
        </w:rPr>
        <w:t>Chuyển tuyến đúng lúc:</w:t>
      </w:r>
      <w:r>
        <w:rPr>
          <w:i/>
        </w:rPr>
        <w:t xml:space="preserve"> Chuyển bệnh nhân lên tuyến trên chụp DXA khi điều trị Plan B không cải thiện, gãy xương tái phát, hoặc nghi ngờ bệnh lý nền phức tạp (Myeloma, suy thận tiến triển).</w:t>
      </w:r>
    </w:p>
    <w:p/>
    <w:p>
      <w:pPr>
        <w:pStyle w:val="Heading1"/>
      </w:pPr>
      <w:r>
        <w:t>10. CASE LÂM SÀNG [NÂNG CAO]</w:t>
      </w:r>
    </w:p>
    <w:p>
      <w:pPr>
        <w:pStyle w:val="Heading2"/>
      </w:pPr>
      <w:r>
        <w:t>Case 1: Phụ nữ lớn tuổi gãy cổ xương đùi sau té nhẹ (Secondary Prevention)</w:t>
      </w:r>
    </w:p>
    <w:p>
      <w:pPr>
        <w:pStyle w:val="ListBullet"/>
      </w:pPr>
      <w:r>
        <w:rPr>
          <w:b/>
        </w:rPr>
        <w:t>Bệnh nhân:</w:t>
      </w:r>
      <w:r>
        <w:t xml:space="preserve"> Bệnh nhân nữ, 68 tuổi, tiền sử khỏe mạnh, bị té ngã ngửa trên sàn nhà vệ sinh. Sau té bệnh nhân đau dữ dội vùng hông phảy, không thể đứng dậy hay đi lại được. X-quang tại cấp cứu ghi nhận gãy bít cổ xương đùi phải. Bệnh nhân chưa từng đo DXA trước đây.</w:t>
      </w:r>
    </w:p>
    <w:p>
      <w:pPr>
        <w:pStyle w:val="ListBullet"/>
      </w:pPr>
      <w:r>
        <w:rPr>
          <w:b/>
        </w:rPr>
        <w:t>Bước 1 — Nhận diện Cấp cứu &amp; Nguy cơ:</w:t>
      </w:r>
      <w:r>
        <w:t xml:space="preserve"> Đây là một biến cố gãy xương do lực thấp (Fragility fracture) ở vùng hông $\rightarrow$ Chẩn đoán lâm sàng Loãng xương nặng. Đây là một sentinel event báo hiệu nguy cơ gãy xương tiếp theo cực kỳ cao.</w:t>
      </w:r>
    </w:p>
    <w:p>
      <w:pPr>
        <w:pStyle w:val="ListBullet"/>
      </w:pPr>
      <w:r>
        <w:rPr>
          <w:b/>
        </w:rPr>
        <w:t>Bước 2 — Dữ kiện quyết định:</w:t>
      </w:r>
      <w:r>
        <w:t xml:space="preserve"> Tiền sử gãy hông sau té nhẹ đặt bệnh nhân vào nhóm nguy cơ gãy xương rất cao, yêu cầu khởi trị phòng ngừa thứ phát ngay mà không được hoãn.</w:t>
      </w:r>
    </w:p>
    <w:p>
      <w:pPr>
        <w:pStyle w:val="ListBullet"/>
      </w:pPr>
      <w:r>
        <w:rPr>
          <w:b/>
        </w:rPr>
        <w:t>Bước 3 — Hành động ngay:</w:t>
      </w:r>
      <w:r>
        <w:t xml:space="preserve"> Hội chẩn Chấn thương Chỉnh hình để kết hợp xương hoặc thay khớp hông. Ngay sau khi tình trạng phẫu thuật ổn định, kiểm tra Calcium máu và eGFR. Bù đủ Calcium và Vitamin D. Khởi trị ngay thuốc chống tiêu xương (Zoledronic acid truyền tĩnh mạch hoặc Denosumab tiêm dưới da) trước khi ra viện.</w:t>
      </w:r>
    </w:p>
    <w:p>
      <w:pPr>
        <w:pStyle w:val="ListBullet"/>
      </w:pPr>
      <w:r>
        <w:rPr>
          <w:b/>
        </w:rPr>
        <w:t>Bước 4 — Theo dõi / Chuyển tuyến:</w:t>
      </w:r>
      <w:r>
        <w:t xml:space="preserve"> Hướng dẫn tập phục hồi chức năng vận động, đánh giá nguy cơ té ngã tại nhà. Hẹn lịch chụp DXA sau 1-2 năm để làm mốc theo dõi dài hạn.</w:t>
      </w:r>
    </w:p>
    <w:p>
      <w:pPr>
        <w:pStyle w:val="ListBullet"/>
      </w:pPr>
      <w:r>
        <w:rPr>
          <w:b/>
        </w:rPr>
        <w:t>Bước 5 — Vì sao các lựa chọn khác sai:</w:t>
      </w:r>
      <w:r>
        <w:t xml:space="preserve"> Cho bệnh nhân xuất viện mà chỉ kê đơn Calcium + Vitamin D đơn thuần là một sai lầm nghiêm trọng, làm bỏ lỡ cơ hội ngăn ngừa gãy xương tái phát. Trì hoãn điều trị thuốc chống loãng xương 6 tháng để đợi xếp lịch đo DXA làm gia tăng nguy cơ gãy đốt sống thứ phát trong năm đầu tiên.</w:t>
      </w:r>
    </w:p>
    <w:p>
      <w:pPr>
        <w:pStyle w:val="Heading2"/>
      </w:pPr>
      <w:r>
        <w:t>Case 2: Phụ nữ 55 tuổi sau mãn kinh đi khám tầm soát (Screening &amp; Case Finding)</w:t>
      </w:r>
    </w:p>
    <w:p>
      <w:pPr>
        <w:pStyle w:val="ListBullet"/>
      </w:pPr>
      <w:r>
        <w:rPr>
          <w:b/>
        </w:rPr>
        <w:t>Bệnh nhân:</w:t>
      </w:r>
      <w:r>
        <w:t xml:space="preserve"> Bệnh nhân nữ, 55 tuổi, mãn kinh năm 50 tuổi, đến khám vì lo lắng muốn "kiểm tra xương" do mẹ ruột từng bị gãy hông lúc 75 tuổi. Bệnh nhân không có triệu chứng đau xương, chưa từng gãy xương, không dùng glucocorticoid.</w:t>
      </w:r>
    </w:p>
    <w:p>
      <w:pPr>
        <w:pStyle w:val="ListBullet"/>
      </w:pPr>
      <w:r>
        <w:rPr>
          <w:b/>
        </w:rPr>
        <w:t>Bước 1 — Nhận diện Cấp cứu &amp; Nguy cơ:</w:t>
      </w:r>
      <w:r>
        <w:t xml:space="preserve"> Bệnh nhân không có red flag, không có gãy xương trước đó. Đây là tình huống tầm soát (screening) ở phụ nữ sau mãn kinh dưới 65 tuổi có yếu tố nguy cơ (tiền sử mẹ gãy hông).</w:t>
      </w:r>
    </w:p>
    <w:p>
      <w:pPr>
        <w:pStyle w:val="ListBullet"/>
      </w:pPr>
      <w:r>
        <w:rPr>
          <w:b/>
        </w:rPr>
        <w:t>Bước 2 — Dữ kiện quyết định:</w:t>
      </w:r>
      <w:r>
        <w:t xml:space="preserve"> Tuổi 55 ($&lt; 65$t) cần đánh giá yếu tố nguy cơ lâm sàng trước khi quyết định chụp DXA.</w:t>
      </w:r>
    </w:p>
    <w:p>
      <w:pPr>
        <w:pStyle w:val="ListBullet"/>
      </w:pPr>
      <w:r>
        <w:rPr>
          <w:b/>
        </w:rPr>
        <w:t>Bước 3 — Hành động ngay:</w:t>
      </w:r>
      <w:r>
        <w:t xml:space="preserve"> Tính điểm FRAX không BMD. Nếu FRAX cho thấy nguy cơ gia tăng hoặc bệnh nhân có nguyện vọng rõ ràng, chỉ định đo DXA trung tâm tại Cột sống thắt lưng và Cổ xương đùi.</w:t>
      </w:r>
    </w:p>
    <w:p>
      <w:pPr>
        <w:pStyle w:val="ListBullet"/>
      </w:pPr>
      <w:r>
        <w:rPr>
          <w:b/>
        </w:rPr>
        <w:t>Bước 4 — Kết quả DXA &amp; Xử trí:</w:t>
      </w:r>
      <w:r>
        <w:t xml:space="preserve"> Kết quả DXA cho thấy T-score thấp nhất là -1.8 tại Cổ xương đùi $\rightarrow$ Chẩn đoán Giảm mật độ xương (Osteopenia). Chưa có chỉ định dùng thuốc chống tiêu xương. Tư vấn can thiệp lối sống: tập thể dục chịu lực, bổ sung đủ calcium qua ăn uống, duy trì đủ vitamin D. Tái đánh giá DXA sau 2-3 năm.</w:t>
      </w:r>
    </w:p>
    <w:p>
      <w:pPr>
        <w:pStyle w:val="ListBullet"/>
      </w:pPr>
      <w:r>
        <w:rPr>
          <w:b/>
        </w:rPr>
        <w:t>Bước 5 — Vì sao các lựa chọn khác sai:</w:t>
      </w:r>
      <w:r>
        <w:t xml:space="preserve"> Kê ngay Bisphosphonate đường uống cho bệnh nhân này là điều trị quá mức (overtreatment) vì T-score chưa đạt ngưỡng loãng xương ($\le -2.5$) và chưa có gãy xương. Ngược lại, phớt lờ tiền sử gia đình mẹ bị gãy hông mà không tư vấn lối sống cũng là thiếu sót.</w:t>
      </w:r>
    </w:p>
    <w:p>
      <w:pPr>
        <w:pStyle w:val="Heading2"/>
      </w:pPr>
      <w:r>
        <w:t>Case 3: Nam bệnh nhân dùng Glucocorticoid kéo dài (Secondary Osteoporosis)</w:t>
      </w:r>
    </w:p>
    <w:p>
      <w:pPr>
        <w:pStyle w:val="ListBullet"/>
      </w:pPr>
      <w:r>
        <w:rPr>
          <w:b/>
        </w:rPr>
        <w:t>Bệnh nhân:</w:t>
      </w:r>
      <w:r>
        <w:t xml:space="preserve"> Bệnh nhân nam, 62 tuổi, tiền sử Viêm gân và Bệnh phổi tắc nghẽn mãn tính (COPD), đã sử dụng Prednisolone đường uống kéo dài hơn 6 tháng nay. Bệnh nhân bắt đầu xuất hiện đau lưng âm ỉ khi đứng lâu.</w:t>
      </w:r>
    </w:p>
    <w:p>
      <w:pPr>
        <w:pStyle w:val="ListBullet"/>
      </w:pPr>
      <w:r>
        <w:rPr>
          <w:b/>
        </w:rPr>
        <w:t>Bước 1 — Nhận diện Cấp cứu &amp; Nguy cơ:</w:t>
      </w:r>
      <w:r>
        <w:t xml:space="preserve"> Đây là đối tượng nguy cơ rất cao bị Loãng xương thứ phát do Glucocorticoid (GIOP). Đau lưng mới xuất hiện gợi ý nguy cơ có gãy xẹp đốt sống tiềm ẩn.</w:t>
      </w:r>
    </w:p>
    <w:p>
      <w:pPr>
        <w:pStyle w:val="ListBullet"/>
      </w:pPr>
      <w:r>
        <w:rPr>
          <w:b/>
        </w:rPr>
        <w:t>Bước 2 — Dữ kiện quyết định:</w:t>
      </w:r>
      <w:r>
        <w:t xml:space="preserve"> Sử dụng Glucocorticoid đường toàn thân kéo dài gây suy giảm tạo xương nghiêm trọng và làm gia tăng nguy cơ gãy xương ở mức BMD cao hơn so với loãng xương thông thường.</w:t>
      </w:r>
    </w:p>
    <w:p>
      <w:pPr>
        <w:pStyle w:val="ListBullet"/>
      </w:pPr>
      <w:r>
        <w:rPr>
          <w:b/>
        </w:rPr>
        <w:t>Bước 3 — Hành động ngay:</w:t>
      </w:r>
      <w:r>
        <w:t xml:space="preserve"> Chỉ định X-quang cột sống thắt lưng ngực (để tìm gãy xẹp đốt sống ẩn) và đo DXA trung tâm. Đọc chỉ số T-score (do nam giới 62 tuổi $\ge 50$t). Làm bilan Calcium, 25(OH)D và Creatinine máu.</w:t>
      </w:r>
    </w:p>
    <w:p>
      <w:pPr>
        <w:pStyle w:val="ListBullet"/>
      </w:pPr>
      <w:r>
        <w:rPr>
          <w:b/>
        </w:rPr>
        <w:t>Bước 4 — Xử trí &amp; Theo dõi:</w:t>
      </w:r>
      <w:r>
        <w:t xml:space="preserve"> Nếu X-quang có gãy xẹp đốt sống hoặc T-score $\le -2.0$ (ngưỡng can thiệp của GIOP thấp hơn loãng xương thông thường), khởi trị ngay Bisphosphonate (Alendronate/Risedronate/Zoledronic acid) kết hợp bù Calcium và Vitamin D. Hướng dẫn giảm liều Glucocorticoid đến mức tối thiểu hiệu quả nếu bệnh phổi cho phép.</w:t>
      </w:r>
    </w:p>
    <w:p>
      <w:pPr>
        <w:pStyle w:val="ListBullet"/>
      </w:pPr>
      <w:r>
        <w:rPr>
          <w:b/>
        </w:rPr>
        <w:t>Bước 5 — Vì sao các lựa chọn khác sai:</w:t>
      </w:r>
      <w:r>
        <w:t xml:space="preserve"> Chờ cho đến khi T-score $\le -2.5$ mới điều trị ở bệnh nhân dùng Glucocorticoid kéo dài là sai lầm, vì glucocorticoid làm đứt gãy kiến trúc xương và gây gãy xương ngay cả khi T-score mới ở mức osteopenia.</w:t>
      </w:r>
    </w:p>
    <w:p>
      <w:pPr>
        <w:pStyle w:val="Heading2"/>
      </w:pPr>
      <w:r>
        <w:t>Case 4: Bệnh nhân nam đau lưng tiến triển nghi ngờ Đa u tủy xương vs Loãng xương</w:t>
      </w:r>
    </w:p>
    <w:p>
      <w:pPr>
        <w:pStyle w:val="ListBullet"/>
      </w:pPr>
      <w:r>
        <w:rPr>
          <w:b/>
        </w:rPr>
        <w:t>Bệnh nhân:</w:t>
      </w:r>
      <w:r>
        <w:t xml:space="preserve"> Bệnh nhân nam, 65 tuổi, vào viện vì đau lưng tiến triển dữ dội 2 tháng nay, đau tăng khi vận động, sụt 4 kg. Kết quả đo DXA tại phòng khám tư trước đó có T-score cột sống là -2.8 và bệnh nhân đã được kê uống Alendronate 1 tháng nhưng đau không giảm mà ngày càng tăng.</w:t>
      </w:r>
    </w:p>
    <w:p>
      <w:pPr>
        <w:pStyle w:val="ListBullet"/>
      </w:pPr>
      <w:r>
        <w:rPr>
          <w:b/>
        </w:rPr>
        <w:t>Bước 1 — Nhận diện Cấp cứu &amp; Nguy cơ:</w:t>
      </w:r>
      <w:r>
        <w:t xml:space="preserve"> Bệnh nhân có nhiều Dấu hiệu Đỏ (Red Flags): nam giới, đau lưng dữ dội tiến triển, sụt cân, không đáp ứng với thuốc chống loãng xương $\rightarrow$ Nghi ngờ cao bệnh lý ác tính (Đa u tủy xương hoặc Ung thư di căn xương).</w:t>
      </w:r>
    </w:p>
    <w:p>
      <w:pPr>
        <w:pStyle w:val="ListBullet"/>
      </w:pPr>
      <w:r>
        <w:rPr>
          <w:b/>
        </w:rPr>
        <w:t>Bước 2 — Dữ kiện quyết định:</w:t>
      </w:r>
      <w:r>
        <w:t xml:space="preserve"> Loãng xương thông thường không gây đau lưng dữ dội liên tục nếu không có gãy đốt sống cấp. T-score thấp có thể là biểu hiện hủy xương của Myeloma.</w:t>
      </w:r>
    </w:p>
    <w:p>
      <w:pPr>
        <w:pStyle w:val="ListBullet"/>
      </w:pPr>
      <w:r>
        <w:rPr>
          <w:b/>
        </w:rPr>
        <w:t>Bước 3 — Hành động ngay:</w:t>
      </w:r>
      <w:r>
        <w:t xml:space="preserve"> Ngừng ngay Alendronate. Cho làm xét nghiệm khẩn: Công thức máu (phát hiện thiếu máu), Calcium máu (phát hiện tăng calcium máu), Creatinine máu (đánh giá suy thận), Tốc độ lắng máu ESR. Cho chụp MRI cột sống thắt lưng và làm Điện di đạm huyết thanh (SPEP) + chuỗi nhẹ tự do máu.</w:t>
      </w:r>
    </w:p>
    <w:p>
      <w:pPr>
        <w:pStyle w:val="ListBullet"/>
      </w:pPr>
      <w:r>
        <w:rPr>
          <w:b/>
        </w:rPr>
        <w:t>Bước 4 — Kết quả &amp; Chuyển tuyến:</w:t>
      </w:r>
      <w:r>
        <w:t xml:space="preserve"> Xét nghiệm cho thấy thiếu máu đẳng sắc, Calcium máu tăng cao, ESR tăng vọt, MRI thấy nhiều tổn thương tiêu xương rải rác thân đốt sống. Điện di đạm phát hiện đỉnh đơn dòng Gamma $\rightarrow$ Chẩn đoán Đa u tủy xương (Multiple Myeloma). Chuyển ngay bệnh nhân sang Chuyên khoa Huyết học.</w:t>
      </w:r>
    </w:p>
    <w:p>
      <w:pPr>
        <w:pStyle w:val="ListBullet"/>
      </w:pPr>
      <w:r>
        <w:rPr>
          <w:b/>
        </w:rPr>
        <w:t>Bước 5 — Vì sao các lựa chọn khác sai:</w:t>
      </w:r>
      <w:r>
        <w:t xml:space="preserve"> Tiếp tục cho bệnh nhân uống thuốc chống loãng xương Alendronate và giải thích "đau do loãng xương" là một sai lầm chết người, làm bỏ sót bệnh lý ung thư máu tiến triển.</w:t>
      </w:r>
    </w:p>
    <w:p/>
    <w:p>
      <w:pPr>
        <w:pStyle w:val="Heading1"/>
      </w:pPr>
      <w:r>
        <w:t>11. TIPS THỰC HÀNH (CLINICAL PEARLS) [THAM KHẢO]</w:t>
      </w:r>
    </w:p>
    <w:p>
      <w:pPr>
        <w:pStyle w:val="ListNumber"/>
      </w:pPr>
      <w:r>
        <w:rPr>
          <w:b/>
        </w:rPr>
        <w:t>Gãy xương trước, giải thích sau:</w:t>
      </w:r>
      <w:r>
        <w:t xml:space="preserve"> Khi gặp một bệnh nhân $&gt; 50$ tuổi gãy xương sau té nhẹ, hãy chẩn đoán ngay là Loãng xương nặng và lên kế hoạch điều trị phòng ngừa thứ phát, không chờ đợi kết quả DXA.</w:t>
      </w:r>
    </w:p>
    <w:p>
      <w:pPr>
        <w:pStyle w:val="ListNumber"/>
      </w:pPr>
      <w:r>
        <w:rPr>
          <w:b/>
        </w:rPr>
        <w:t>Hỏi kỹ cơ chế té:</w:t>
      </w:r>
      <w:r>
        <w:t xml:space="preserve"> Đừng để câu trả lời "tại tôi bị té nên mới gãy" làm lu mờ tư duy. Hãy hỏi té từ đâu? Té từ tư thế đứng mà gãy xương chứng tỏ độ bền xương đã bị suy giảm nghiêm trọng.</w:t>
      </w:r>
    </w:p>
    <w:p>
      <w:pPr>
        <w:pStyle w:val="ListNumber"/>
      </w:pPr>
      <w:r>
        <w:rPr>
          <w:b/>
        </w:rPr>
        <w:t>Đọc đúng chỉ số theo tuổi:</w:t>
      </w:r>
      <w:r>
        <w:t xml:space="preserve"> Phụ nữ sau mãn kinh và nam $\ge 50$ tuổi đọc </w:t>
      </w:r>
      <w:r>
        <w:rPr>
          <w:b/>
        </w:rPr>
        <w:t>T-score</w:t>
      </w:r>
      <w:r>
        <w:t xml:space="preserve">. Phụ nữ trước mãn kinh và nam $&lt; 50$ tuổi bắt buộc đọc </w:t>
      </w:r>
      <w:r>
        <w:rPr>
          <w:b/>
        </w:rPr>
        <w:t>Z-score</w:t>
      </w:r>
      <w:r>
        <w:t>.</w:t>
      </w:r>
    </w:p>
    <w:p>
      <w:pPr>
        <w:pStyle w:val="ListNumber"/>
      </w:pPr>
      <w:r>
        <w:rPr>
          <w:b/>
        </w:rPr>
        <w:t>Z-score $\le -2.0$ là mệnh lệnh đi tìm nguyên nhân thứ phát:</w:t>
      </w:r>
      <w:r>
        <w:t xml:space="preserve"> Đừng vội kết luận loãng xương nguyên phát, hãy tìm glucocorticoid, suy thận, bệnh celiac, cường cận giáp hoặc myeloma.</w:t>
      </w:r>
    </w:p>
    <w:p>
      <w:pPr>
        <w:pStyle w:val="ListNumber"/>
      </w:pPr>
      <w:r>
        <w:rPr>
          <w:b/>
        </w:rPr>
        <w:t>FRAX là người trợ lý, bác sĩ mới là người quyết định:</w:t>
      </w:r>
      <w:r>
        <w:t xml:space="preserve"> FRAX không tính được số lần té ngã hay liều tích lũy corticoid. Nếu lâm sàng thấy nguy cơ cao hơn FRAX tính, hãy tin vào tư duy lâm sàng.</w:t>
      </w:r>
    </w:p>
    <w:p>
      <w:pPr>
        <w:pStyle w:val="ListNumber"/>
      </w:pPr>
      <w:r>
        <w:rPr>
          <w:b/>
        </w:rPr>
        <w:t>DXA tốt phải đo đúng vị trí chuẩn:</w:t>
      </w:r>
      <w:r>
        <w:t xml:space="preserve"> Bắt buộc đo tại Cột sống thắt lưng (PA Spine) và Cổ xương đùi/Toàn bộ hông. Tuyệt đối không dùng siêu âm gót chân (QUS) để chẩn đoán xác định loãng xương.</w:t>
      </w:r>
    </w:p>
    <w:p>
      <w:pPr>
        <w:pStyle w:val="ListNumber"/>
      </w:pPr>
      <w:r>
        <w:rPr>
          <w:b/>
        </w:rPr>
        <w:t>Không xét nghiệm Vitamin D đại trà:</w:t>
      </w:r>
      <w:r>
        <w:t xml:space="preserve"> Tuân thủ Endocrine Society 2024, không cho làm 25(OH)D máu cho người khỏe mạnh đi khám sức khỏe; dành xét nghiệm này cho người nghi mềm xương, suy thận hoặc trước khi tiêm thuốc mạnh.</w:t>
      </w:r>
    </w:p>
    <w:p>
      <w:pPr>
        <w:pStyle w:val="ListNumber"/>
      </w:pPr>
      <w:r>
        <w:rPr>
          <w:b/>
        </w:rPr>
        <w:t>Kiểm tra Calcium máu trước khi tiêm/truyền thuốc mạnh:</w:t>
      </w:r>
      <w:r>
        <w:t xml:space="preserve"> Truyền Zoledronic acid hay tiêm Denosumab trên một bệnh nhân đang bị hạ calcium máu sẽ gây ra cơn hạ calcium máu cấp đe dọa tính mạng.</w:t>
      </w:r>
    </w:p>
    <w:p>
      <w:pPr>
        <w:pStyle w:val="ListNumber"/>
      </w:pPr>
      <w:r>
        <w:rPr>
          <w:b/>
        </w:rPr>
        <w:t>Khóa an toàn tuyệt đối với Denosumab:</w:t>
      </w:r>
      <w:r>
        <w:t xml:space="preserve"> Ngưng Denosumab đột ngột gây ra gãy nhiều đốt sống dội ngược. Luôn lập sẵn kế hoạch dùng Bisphosphonate nối tiếp trước khi tiêm mũi Denosumab đầu tiên.</w:t>
      </w:r>
    </w:p>
    <w:p>
      <w:pPr>
        <w:pStyle w:val="ListNumber"/>
      </w:pPr>
      <w:r>
        <w:rPr>
          <w:b/>
        </w:rPr>
        <w:t>Hỏi triệu chứng đau đùi/bẹn ở người dùng Bisphosphonate lâu năm:</w:t>
      </w:r>
      <w:r>
        <w:t xml:space="preserve"> Đó có thể là tiền triệu của Gãy xương đùi không điển hình (AFF). Hãy cho chụp X-quang xương đùi 2 bên ngay lập tức.</w:t>
      </w:r>
    </w:p>
    <w:p>
      <w:pPr>
        <w:pStyle w:val="ListNumber"/>
      </w:pPr>
      <w:r>
        <w:rPr>
          <w:b/>
        </w:rPr>
        <w:t>Giảm gãy xương là mục tiêu duy nhất:</w:t>
      </w:r>
      <w:r>
        <w:t xml:space="preserve"> Đừng điều trị để "làm đẹp số T-score". Mục tiêu thực sự của mọi phác đồ là giữ cho bệnh nhân không bị gãy thêm bất kỳ một xương nào nữa.</w:t>
      </w:r>
    </w:p>
    <w:p/>
    <w:p>
      <w:pPr>
        <w:pStyle w:val="Heading1"/>
      </w:pPr>
      <w:r>
        <w:t>12. TỔNG KẾT — 10 ĐIỂM CẦN NHỚ [CỐT LÕI]</w:t>
      </w:r>
    </w:p>
    <w:p>
      <w:pPr>
        <w:pStyle w:val="ListNumber"/>
      </w:pPr>
      <w:r>
        <w:t>Loãng xương là bệnh lý giảm độ bền xương và đứt gãy cấu trúc vi thể, diễn tiến âm thầm cho đến khi biến chứng gãy xương xuất hiện.</w:t>
      </w:r>
    </w:p>
    <w:p>
      <w:pPr>
        <w:pStyle w:val="ListNumber"/>
      </w:pPr>
      <w:r>
        <w:t>Quá trình tái cấu trúc xương (remodeling) phụ thuộc vào sự cân bằng giữa tiêu xương (Osteoclast) và tạo xương (Osteoblast), dưới sự điều phối cảm biến của Osteocyte.</w:t>
      </w:r>
    </w:p>
    <w:p>
      <w:pPr>
        <w:pStyle w:val="ListNumber"/>
      </w:pPr>
      <w:r>
        <w:t>Gãy xương do lực thấp (Fragility fracture) ở người lớn tuổi là một sentinel event cần được khởi trị phòng ngừa thứ phát ngay lập tức.</w:t>
      </w:r>
    </w:p>
    <w:p>
      <w:pPr>
        <w:pStyle w:val="ListNumber"/>
      </w:pPr>
      <w:r>
        <w:t>Phân biệt rõ Loãng xương (giảm khối lượng xương) và Mềm xương (bất thường khoáng hóa do thiếu Vitamin D/Phosphat).</w:t>
      </w:r>
    </w:p>
    <w:p>
      <w:pPr>
        <w:pStyle w:val="ListNumber"/>
      </w:pPr>
      <w:r>
        <w:t>Phụ nữ sau mãn kinh và nam $\ge 50$ tuổi đọc T-score theo tiêu chuẩn WHO ($\le -2.5$ là loãng xương). Phụ nữ trước mãn kinh và nam $&lt; 50$ tuổi đọc Z-score ($\le -2.0$ cần tầm soát nguyên nhân thứ phát).</w:t>
      </w:r>
    </w:p>
    <w:p>
      <w:pPr>
        <w:pStyle w:val="ListNumber"/>
      </w:pPr>
      <w:r>
        <w:t>Tầm soát cộng đồng theo USPSTF 2025 áp dụng cho phụ nữ $\ge 65$ tuổi bằng central DXA.</w:t>
      </w:r>
    </w:p>
    <w:p>
      <w:pPr>
        <w:pStyle w:val="ListNumber"/>
      </w:pPr>
      <w:r>
        <w:t>Can thiệp lối sống, dinh dưỡng đủ calcium, duy trì vitamin D, tập luyện chịu lực và phòng ngừa té ngã là nền tảng bắt buộc cho mọi mức nguy cơ.</w:t>
      </w:r>
    </w:p>
    <w:p>
      <w:pPr>
        <w:pStyle w:val="ListNumber"/>
      </w:pPr>
      <w:r>
        <w:t>Phân tầng nguy cơ: Nguy cơ cao khởi trị bằng Antiresorptive; Nguy cơ rất cao khởi trị bằng Anabolic / Dual-action rồi bắt buộc nối tiếp bằng Antiresorptive.</w:t>
      </w:r>
    </w:p>
    <w:p>
      <w:pPr>
        <w:pStyle w:val="ListNumber"/>
      </w:pPr>
      <w:r>
        <w:t>Kiểm tra và bù đủ Calcium/Vitamin D trước khi tiêm/truyền Zoledronic acid hoặc Denosumab để tránh hạ calcium máu nặng.</w:t>
      </w:r>
    </w:p>
    <w:p>
      <w:pPr>
        <w:pStyle w:val="ListNumber"/>
      </w:pPr>
      <w:r>
        <w:t>Tuyệt đối không dừng Denosumab đột ngột mà không có bisphosphonate nối tiếp để tránh biến cố gãy đốt sống dội ngược.</w:t>
      </w:r>
    </w:p>
    <w:p/>
    <w:p>
      <w:pPr>
        <w:pStyle w:val="Heading2"/>
      </w:pPr>
      <w:r>
        <w:t>🛑 TỰ KIỂM TRA CUỐI BÀI</w:t>
      </w:r>
    </w:p>
    <w:p>
      <w:pPr>
        <w:ind w:left="567"/>
      </w:pPr>
      <w:r>
        <w:rPr>
          <w:i/>
        </w:rPr>
        <w:t>1. Một bệnh nhân nữ 72 tuổi, tiền sử gãy xẹp đốt sống L2 cách đây 6 tháng, hiện T-score tại cổ xương đùi là -2.1. Bệnh nhân này thuộc nhóm nguy cơ nào và phác đồ điều trị ban đầu nào là phù hợp nhất?</w:t>
      </w:r>
    </w:p>
    <w:p>
      <w:r>
        <w:t xml:space="preserve">&gt; </w:t>
      </w:r>
    </w:p>
    <w:p>
      <w:pPr>
        <w:ind w:left="567"/>
      </w:pPr>
      <w:r>
        <w:rPr>
          <w:i/>
        </w:rPr>
        <w:t>(Đáp án: Bệnh nhân thuộc Nhóm Nguy cơ Cao/Rất cao do đã có gãy đốt sống do lực thấp. Mặc dù T-score là -2.1 (mức osteopenia), tiền sử gãy đốt sống khẳng định độ bền xương đã suy giảm nghiêm trọng. Phác đồ phù hợp là khởi trị ngay thuốc chống tiêu xương (Alendronate/Zoledronic acid/Denosumab) kết hợp can thiệp lối sống và phòng té ngã, không được coi là "chưa cần điều trị thuốc" chỉ vì T-score chưa $\le -2.5$.)</w:t>
      </w:r>
    </w:p>
    <w:p>
      <w:r>
        <w:t>&gt;</w:t>
      </w:r>
    </w:p>
    <w:p>
      <w:pPr>
        <w:ind w:left="567"/>
      </w:pPr>
      <w:r>
        <w:rPr>
          <w:i/>
        </w:rPr>
        <w:t>2. Bệnh nhân nam 58 tuổi đang điều trị Denosumab tiêm dưới da được 2 năm, mật độ xương cải thiện tốt. Bệnh nhân muốn tự ý ngừng tiêm thuốc vì cảm thấy khỏe mạnh. Bác sĩ cần tư vấn nguy cơ gì và hướng xử trí đúng là gì?</w:t>
      </w:r>
    </w:p>
    <w:p>
      <w:r>
        <w:t>&gt;</w:t>
      </w:r>
    </w:p>
    <w:p>
      <w:pPr>
        <w:ind w:left="567"/>
      </w:pPr>
      <w:r>
        <w:rPr>
          <w:i/>
        </w:rPr>
        <w:t>(Đáp án: Bác sĩ phải giải thích nguy cơ tăng tiêu xương dội ngược nghiêm trọng dẫn đến gãy nhiều đốt sống cấp tính nếu tự ý ngừng Denosumab. Hướng xử trí đúng: Nếu ngừng Denosumab, bắt buộc phải chuyển sang điều trị nối tiếp bằng một thuốc Bisphosphonate (như truyền Zoledronic acid) để chốt giữ khối lượng xương đã đạt được.)</w:t>
      </w:r>
    </w:p>
    <w:p>
      <w:r>
        <w:t>&gt;</w:t>
      </w:r>
    </w:p>
    <w:p>
      <w:pPr>
        <w:ind w:left="567"/>
      </w:pPr>
      <w:r>
        <w:rPr>
          <w:i/>
        </w:rPr>
        <w:t>3. Tình huống lâm sàng ngắn: Một bệnh nhân nam 67 tuổi dùng Prednisolone 15 mg/ngày điều trị viêm khớp dạng thấp hơn 1 năm nay, đo DXA có T-score là -2.2 tại cột sống thắt lưng. Bác sĩ nên làm gì tiếp theo?</w:t>
      </w:r>
    </w:p>
    <w:p>
      <w:r>
        <w:t>&gt;</w:t>
      </w:r>
    </w:p>
    <w:p>
      <w:pPr>
        <w:ind w:left="567"/>
      </w:pPr>
      <w:r>
        <w:rPr>
          <w:i/>
        </w:rPr>
        <w:t>(Đáp án: Bệnh nhân bị Loãng xương thứ phát do Glucocorticoid (GIOP). Ngưỡng can thiệp điều trị thuốc ở bệnh nhân dùng glucocorticoid kéo dài là T-score $\le -2.0$. Do đó, bác sĩ cần chỉ định điều trị ngay bằng thuốc chống tiêu xương (Bisphosphonate đường uống hoặc đường truyền) kết hợp bổ sung Calcium + Vitamin D và tìm cách giảm liều corticoid nếu có thể.)</w:t>
      </w:r>
    </w:p>
    <w:p/>
    <w:p>
      <w:pPr>
        <w:pStyle w:val="Heading1"/>
      </w:pPr>
      <w:r>
        <w:t>13. TÀI LIỆU THAM KHẢO</w:t>
      </w:r>
    </w:p>
    <w:p>
      <w:pPr>
        <w:pStyle w:val="ListNumber"/>
      </w:pPr>
      <w:r>
        <w:rPr>
          <w:b/>
        </w:rPr>
        <w:t>Yeam C.T. et al. (2022)</w:t>
      </w:r>
      <w:r>
        <w:t xml:space="preserve"> "Fragility fractures as sentinel events for osteoporosis management and secondary fracture prevention." </w:t>
      </w:r>
      <w:r>
        <w:rPr>
          <w:i/>
        </w:rPr>
        <w:t>Journal of Clinical Endocrinology and Metabolism.</w:t>
      </w:r>
      <w:r>
        <w:t xml:space="preserve"> PMID: </w:t>
      </w:r>
      <w:r>
        <w:rPr>
          <w:b/>
        </w:rPr>
        <w:t>35478046</w:t>
      </w:r>
      <w:r>
        <w:t>. [ABSTRACT VERIFIED]</w:t>
      </w:r>
    </w:p>
    <w:p>
      <w:pPr>
        <w:pStyle w:val="ListNumber"/>
      </w:pPr>
      <w:r>
        <w:rPr>
          <w:b/>
        </w:rPr>
        <w:t>Demay M.B. et al. (2024)</w:t>
      </w:r>
      <w:r>
        <w:t xml:space="preserve"> "Vitamin D for the Prevention of Disease: An Endocrine Society Clinical Practice Guideline." </w:t>
      </w:r>
      <w:r>
        <w:rPr>
          <w:i/>
        </w:rPr>
        <w:t>The Journal of Clinical Endocrinology &amp; Metabolism.</w:t>
      </w:r>
      <w:r>
        <w:t xml:space="preserve"> PMID: </w:t>
      </w:r>
      <w:r>
        <w:rPr>
          <w:b/>
        </w:rPr>
        <w:t>38828931</w:t>
      </w:r>
      <w:r>
        <w:t>. [ABSTRACT VERIFIED]</w:t>
      </w:r>
    </w:p>
    <w:p>
      <w:pPr>
        <w:pStyle w:val="ListNumber"/>
      </w:pPr>
      <w:r>
        <w:rPr>
          <w:b/>
        </w:rPr>
        <w:t>Gregson C.L. et al. (2024)</w:t>
      </w:r>
      <w:r>
        <w:t xml:space="preserve"> "UK clinical guideline for the prevention and treatment of osteoporosis: National Osteoporosis Guideline Group (NOGG) update." </w:t>
      </w:r>
      <w:r>
        <w:rPr>
          <w:i/>
        </w:rPr>
        <w:t>Archives of Osteoporosis.</w:t>
      </w:r>
      <w:r>
        <w:t xml:space="preserve"> PMID: </w:t>
      </w:r>
      <w:r>
        <w:rPr>
          <w:b/>
        </w:rPr>
        <w:t>40921943</w:t>
      </w:r>
      <w:r>
        <w:t>. [GUIDELINE VERIFIED]</w:t>
      </w:r>
    </w:p>
    <w:p>
      <w:pPr>
        <w:pStyle w:val="ListNumber"/>
      </w:pPr>
      <w:r>
        <w:rPr>
          <w:b/>
        </w:rPr>
        <w:t>USPSTF Recommendation Statement (2025)</w:t>
      </w:r>
      <w:r>
        <w:t xml:space="preserve"> "Screening for Osteoporosis to Prevent Fractures: US Preventive Services Task Force Recommendation Statement." </w:t>
      </w:r>
      <w:r>
        <w:rPr>
          <w:i/>
        </w:rPr>
        <w:t>JAMA.</w:t>
      </w:r>
      <w:r>
        <w:t xml:space="preserve"> PMID: </w:t>
      </w:r>
      <w:r>
        <w:rPr>
          <w:b/>
        </w:rPr>
        <w:t>39808425</w:t>
      </w:r>
      <w:r>
        <w:t>. [ABSTRACT VERIFIED]</w:t>
      </w:r>
    </w:p>
    <w:p>
      <w:pPr>
        <w:pStyle w:val="ListNumber"/>
      </w:pPr>
      <w:r>
        <w:rPr>
          <w:b/>
        </w:rPr>
        <w:t>Cummings S.R. et al. (2009)</w:t>
      </w:r>
      <w:r>
        <w:t xml:space="preserve"> "Denosumab for prevention of fractures in postmenopausal women with osteoporosis." </w:t>
      </w:r>
      <w:r>
        <w:rPr>
          <w:i/>
        </w:rPr>
        <w:t>New England Journal of Medicine.</w:t>
      </w:r>
      <w:r>
        <w:t xml:space="preserve"> PMID: </w:t>
      </w:r>
      <w:r>
        <w:rPr>
          <w:b/>
        </w:rPr>
        <w:t>19671655</w:t>
      </w:r>
      <w:r>
        <w:t>. [ABSTRACT VERIFIED]</w:t>
      </w:r>
    </w:p>
    <w:p>
      <w:pPr>
        <w:pStyle w:val="ListNumber"/>
      </w:pPr>
      <w:r>
        <w:rPr>
          <w:b/>
        </w:rPr>
        <w:t>Black D.M. et al. (2007)</w:t>
      </w:r>
      <w:r>
        <w:t xml:space="preserve"> "Once-yearly zoledronic acid for treatment of postmenopausal osteoporosis." </w:t>
      </w:r>
      <w:r>
        <w:rPr>
          <w:i/>
        </w:rPr>
        <w:t>New England Journal of Medicine.</w:t>
      </w:r>
      <w:r>
        <w:t xml:space="preserve"> PMID: </w:t>
      </w:r>
      <w:r>
        <w:rPr>
          <w:b/>
        </w:rPr>
        <w:t>17476007</w:t>
      </w:r>
      <w:r>
        <w:t>. [ABSTRACT VERIFIED]</w:t>
      </w:r>
    </w:p>
    <w:p>
      <w:pPr>
        <w:pStyle w:val="ListNumber"/>
      </w:pPr>
      <w:r>
        <w:rPr>
          <w:b/>
        </w:rPr>
        <w:t>Saag K.G. et al. (2017)</w:t>
      </w:r>
      <w:r>
        <w:t xml:space="preserve"> "Romosozumab or Alendronate for Fracture Prevention in Postmenopausal Women." </w:t>
      </w:r>
      <w:r>
        <w:rPr>
          <w:i/>
        </w:rPr>
        <w:t>New England Journal of Medicine.</w:t>
      </w:r>
      <w:r>
        <w:t xml:space="preserve"> PMID: </w:t>
      </w:r>
      <w:r>
        <w:rPr>
          <w:b/>
        </w:rPr>
        <w:t>28892457</w:t>
      </w:r>
      <w:r>
        <w:t>. [ABSTRACT VERIFIED]</w:t>
      </w:r>
    </w:p>
    <w:p>
      <w:pPr>
        <w:pStyle w:val="ListNumber"/>
      </w:pPr>
      <w:r>
        <w:rPr>
          <w:b/>
        </w:rPr>
        <w:t>Geusens P. et al. (2018)</w:t>
      </w:r>
      <w:r>
        <w:t xml:space="preserve"> "Effect of Teriparatide Versus Risedronate on New Vertebral Fractures in Postmenopausal Women With Severe Osteoporosis (VERO)." </w:t>
      </w:r>
      <w:r>
        <w:rPr>
          <w:i/>
        </w:rPr>
        <w:t>Journal of Bone and Mineral Research.</w:t>
      </w:r>
      <w:r>
        <w:t xml:space="preserve"> PMID: </w:t>
      </w:r>
      <w:r>
        <w:rPr>
          <w:b/>
        </w:rPr>
        <w:t>29129436</w:t>
      </w:r>
      <w:r>
        <w:t>. [ABSTRACT VERIFIED]</w:t>
      </w:r>
    </w:p>
    <w:p>
      <w:pPr>
        <w:pStyle w:val="ListNumber"/>
      </w:pPr>
      <w:r>
        <w:rPr>
          <w:b/>
        </w:rPr>
        <w:t>Neer R.M. et al. (2001)</w:t>
      </w:r>
      <w:r>
        <w:t xml:space="preserve"> "Effect of parathyroid hormone (1-34) on fractures and bone mineral density in postmenopausal women with osteoporosis." </w:t>
      </w:r>
      <w:r>
        <w:rPr>
          <w:i/>
        </w:rPr>
        <w:t>New England Journal of Medicine.</w:t>
      </w:r>
      <w:r>
        <w:t xml:space="preserve"> PMID: </w:t>
      </w:r>
      <w:r>
        <w:rPr>
          <w:b/>
        </w:rPr>
        <w:t>11346808</w:t>
      </w:r>
      <w:r>
        <w:t>. [ABSTRACT VERIFIED]</w:t>
      </w:r>
    </w:p>
    <w:p>
      <w:pPr>
        <w:pStyle w:val="ListNumber"/>
      </w:pPr>
      <w:r>
        <w:rPr>
          <w:b/>
        </w:rPr>
        <w:t>Liberman U.A. et al. (1995)</w:t>
      </w:r>
      <w:r>
        <w:t xml:space="preserve"> "Effect of oral alendronate on bone mineral density and the incidence of fractures in postmenopausal women." </w:t>
      </w:r>
      <w:r>
        <w:rPr>
          <w:i/>
        </w:rPr>
        <w:t>New England Journal of Medicine.</w:t>
      </w:r>
      <w:r>
        <w:t xml:space="preserve"> PMID: </w:t>
      </w:r>
      <w:r>
        <w:rPr>
          <w:b/>
        </w:rPr>
        <w:t>7477143</w:t>
      </w:r>
      <w:r>
        <w:t>. [ABSTRACT VERIFIED]</w:t>
      </w:r>
    </w:p>
    <w:p>
      <w:pPr>
        <w:pStyle w:val="ListNumber"/>
      </w:pPr>
      <w:r>
        <w:rPr>
          <w:b/>
        </w:rPr>
        <w:t>Black D.M. et al. (2006)</w:t>
      </w:r>
      <w:r>
        <w:t xml:space="preserve"> "The effects of continuing vs stopping alendronate after 5 years of treatment: the Fracture Intervention Trial Long-term Extension (FLEX)." </w:t>
      </w:r>
      <w:r>
        <w:rPr>
          <w:i/>
        </w:rPr>
        <w:t>JAMA.</w:t>
      </w:r>
      <w:r>
        <w:t xml:space="preserve"> PMID: </w:t>
      </w:r>
      <w:r>
        <w:rPr>
          <w:b/>
        </w:rPr>
        <w:t>17190893</w:t>
      </w:r>
      <w:r>
        <w:t>. [ABSTRACT VERIFIED]</w:t>
      </w:r>
    </w:p>
    <w:p>
      <w:pPr>
        <w:pStyle w:val="ListNumber"/>
      </w:pPr>
      <w:r>
        <w:rPr>
          <w:b/>
        </w:rPr>
        <w:t>Boonen S. et al. (2011)</w:t>
      </w:r>
      <w:r>
        <w:t xml:space="preserve"> "Fracture risk reduction with denosumab in postmenopausal women with osteoporosis: subgroup analyses from the FREEDOM trial." </w:t>
      </w:r>
      <w:r>
        <w:rPr>
          <w:i/>
        </w:rPr>
        <w:t>Journal of Bone and Mineral Research.</w:t>
      </w:r>
      <w:r>
        <w:t xml:space="preserve"> PMID: </w:t>
      </w:r>
      <w:r>
        <w:rPr>
          <w:b/>
        </w:rPr>
        <w:t>21411557</w:t>
      </w:r>
      <w:r>
        <w:t>. [ABSTRACT VERIFIED]</w:t>
      </w:r>
    </w:p>
    <w:p/>
    <w:p>
      <w:r>
        <w:rPr>
          <w:b/>
        </w:rPr>
        <w:t>— Hết bài học ngày 2026-07-23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