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IM-57 — Chuyển hóa xương, vitamin D và loãng xương</w:t>
      </w:r>
    </w:p>
    <w:p>
      <w:r>
        <w:t>Bai hoc y khoa - IM-57_Chuyen_hoa_xuong_vitamin_D_va_loang_xuong_2026-07-23_RELEASE_v2_RESEARCH_BRIEF</w:t>
      </w:r>
    </w:p>
    <w:p>
      <w:pPr>
        <w:pStyle w:val="Title"/>
      </w:pPr>
      <w:r>
        <w:t>RESEARCH BRIEF: IM-57 — Chuyển hóa xương, vitamin D và loãng xương</w:t>
      </w:r>
    </w:p>
    <w:p>
      <w:r>
        <w:rPr>
          <w:b/>
        </w:rPr>
        <w:t>Ngày:</w:t>
      </w:r>
      <w:r>
        <w:t xml:space="preserve"> 2026-07-23 | </w:t>
      </w:r>
      <w:r>
        <w:rPr>
          <w:b/>
        </w:rPr>
        <w:t>Profile:</w:t>
      </w:r>
      <w:r>
        <w:t xml:space="preserve"> foundation | </w:t>
      </w:r>
      <w:r>
        <w:rPr>
          <w:b/>
        </w:rPr>
        <w:t>Đối tượng:</w:t>
      </w:r>
      <w:r>
        <w:t xml:space="preserve"> người học mất nền</w:t>
      </w:r>
    </w:p>
    <w:p>
      <w:r>
        <w:rPr>
          <w:b/>
        </w:rPr>
        <w:t>Rebuild từ:</w:t>
      </w:r>
      <w:r>
        <w:t xml:space="preserve"> v1 brief 2026-07-22 — không fetch lại PMIDs, kế thừa toàn bộ claims đã verify.</w:t>
      </w:r>
    </w:p>
    <w:p>
      <w:pPr>
        <w:pStyle w:val="Heading1"/>
      </w:pPr>
      <w:r>
        <w:t>0. Lesson profile &amp; release contract</w:t>
      </w:r>
    </w:p>
    <w:p>
      <w:r>
        <w:rPr>
          <w:rFonts w:ascii="Consolas" w:hAnsi="Consolas"/>
          <w:sz w:val="18"/>
        </w:rPr>
        <w:t>{</w:t>
        <w:br/>
        <w:t xml:space="preserve">  "profile": "foundation",</w:t>
        <w:br/>
        <w:t xml:space="preserve">  "required_gates": [</w:t>
        <w:br/>
        <w:t xml:space="preserve">    "brief_pmid_preflight",</w:t>
        <w:br/>
        <w:t xml:space="preserve">    "source_pmid_strict",</w:t>
        <w:br/>
        <w:t xml:space="preserve">    "source_claims_strict",</w:t>
        <w:br/>
        <w:t xml:space="preserve">    "citation_zero_block",</w:t>
        <w:br/>
        <w:t xml:space="preserve">    "profile_foundation",</w:t>
        <w:br/>
        <w:t xml:space="preserve">    "cards_schema",</w:t>
        <w:br/>
        <w:t xml:space="preserve">    "candidate_apkg_build",</w:t>
        <w:br/>
        <w:t xml:space="preserve">    "package_note_count",</w:t>
        <w:br/>
        <w:t xml:space="preserve">    "package_diacritics",</w:t>
        <w:br/>
        <w:t xml:space="preserve">    "source_diacritics",</w:t>
        <w:br/>
        <w:t xml:space="preserve">    "learner_smoke"</w:t>
        <w:br/>
        <w:t xml:space="preserve">  ],</w:t>
        <w:br/>
        <w:t xml:space="preserve">  "not_applicable": ["drug_dosage_patterns"],</w:t>
        <w:br/>
        <w:t xml:space="preserve">  "approved_exemptions": [</w:t>
        <w:br/>
        <w:t xml:space="preserve">    {</w:t>
        <w:br/>
        <w:t xml:space="preserve">      "gate": "drug_dosage_patterns",</w:t>
        <w:br/>
        <w:t xml:space="preserve">      "reason": "Brief section 5 cấm đưa liều/lịch từng thuốc cụ thể vì không có guideline địa phương đã verify. Bảng thuốc section 8 chỉ liệt kê tên thuốc, đường dùng và ghi chú an toàn — không có số mg cụ thể. Gate drug_dosage_patterns không applicable cho bài này."</w:t>
        <w:br/>
        <w:t xml:space="preserve">    }</w:t>
        <w:br/>
        <w:t xml:space="preserve">  ]</w:t>
        <w:br/>
        <w:t>}</w:t>
      </w:r>
    </w:p>
    <w:p>
      <w:r>
        <w:rPr>
          <w:b/>
        </w:rPr>
        <w:t>Output basename đã khóa:</w:t>
      </w:r>
      <w:r>
        <w:t xml:space="preserve"> </w:t>
      </w:r>
      <w:r>
        <w:rPr>
          <w:rFonts w:ascii="Consolas" w:hAnsi="Consolas"/>
        </w:rPr>
        <w:t>IM-57_Chuyen_hoa_xuong_vitamin_D_va_loang_xuong_2026-07-23_RELEASE_v2</w:t>
      </w:r>
      <w:r>
        <w:t>.</w:t>
      </w:r>
    </w:p>
    <w:p>
      <w:pPr>
        <w:pStyle w:val="Heading1"/>
      </w:pPr>
      <w:r>
        <w:t>1. Preflight guideline và phạm vi</w:t>
      </w:r>
    </w:p>
    <w:p>
      <w:r>
        <w:t>Kế thừa từ v1 brief — NOGG 2024, Endocrine Society 2024, ISCD 2023, USPSTF 2025 đều WARN (không BLOCK). Freshness đã xác nhận: NOGG Updated December 2024, ISCD 2023, Endocrine Society PMID 38828931. NOGG là khung UK — ngưỡng/công cụ không áp thẳng sang Việt Nam.</w:t>
      </w:r>
    </w:p>
    <w:p>
      <w:pPr>
        <w:pStyle w:val="Heading1"/>
      </w:pPr>
      <w:r>
        <w:t>2. Papers đã chọn (kế thừa từ v1, không fetch lại)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đã xác nhận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35478046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BHOF Clinician's Guide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Gãy ở người lớn tuổi là sentinel event; prevention, diagnosis, treatment, monitoring.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38828931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Endocrine Society guideline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25(OH)D thường quy để phòng bệnh ở người không có chỉ định.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40921943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 guideline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Case finding, risk assessment, thuốc, sequence và follow-up.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39808425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USPSTF final recommendation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Screening phụ nữ từ 65 tuổi; selective screening phụ nữ trẻ hơn có nguy cơ.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19671655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FREEDOM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Denosumab vs placebo; nguy cơ vertebral fracture tăng sau ngừng không kế hoạch.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17476007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HORIZON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Zoledronic acid vs placebo ở postmenopausal osteoporosis.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28892457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ARCH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Romosozumab rồi alendronate vs alendronate đơn thuần.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29129436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VERO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Teriparatide vs risedronate ở severe osteoporosis.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11346808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PTH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PTH(1-34) vs placebo ở phụ nữ sau mãn kinh có vertebral fracture.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7477143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Alendronate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Alendronate vs placebo ở postmenopausal osteoporosis.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17190893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FLEX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Continuing vs stopping alendronate after prior treatment.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21411557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FREEDOM subgroup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Denosumab fracture outcomes in higher-risk subgroups.</w:t>
            </w:r>
          </w:p>
        </w:tc>
      </w:tr>
    </w:tbl>
    <w:p>
      <w:pPr>
        <w:pStyle w:val="Heading1"/>
      </w:pPr>
      <w:r>
        <w:t>3. Claims đã khóa (kế thừa từ v1)</w:t>
      </w:r>
    </w:p>
    <w:p>
      <w:r>
        <w:t>Xem v1 brief — 12 claims đã verify với tags [ABSTRACT VERIFIED] / [GUIDELINE VERIFIED]. Không thêm claim mới.</w:t>
      </w:r>
    </w:p>
    <w:p>
      <w:pPr>
        <w:pStyle w:val="Heading1"/>
      </w:pPr>
      <w:r>
        <w:t>4. Số liệu CẤM dùng (kế thừa từ v1)</w:t>
      </w:r>
    </w:p>
    <w:p>
      <w:pPr>
        <w:pStyle w:val="ListBullet"/>
      </w:pPr>
      <w:r>
        <w:t xml:space="preserve">Không đưa ngưỡng vitamin D, liều calcium/vitamin D, interval DXA, duration drug holiday, </w:t>
      </w:r>
      <w:r>
        <w:rPr>
          <w:b/>
        </w:rPr>
        <w:t>liều/lịch từng thuốc</w:t>
      </w:r>
      <w:r>
        <w:t>, hoặc threshold treatment của UK vào bài/cards.</w:t>
      </w:r>
    </w:p>
    <w:p>
      <w:pPr>
        <w:pStyle w:val="ListBullet"/>
      </w:pPr>
      <w:r>
        <w:t>Không đưa số liệu hiệu quả RCT (RR, CI, %, cỡ mẫu) vào bài/cards.</w:t>
      </w:r>
    </w:p>
    <w:p>
      <w:pPr>
        <w:pStyle w:val="ListBullet"/>
      </w:pPr>
      <w:r>
        <w:t>Không biến T-score đơn lẻ hoặc 25(OH)D đơn lẻ thành chẩn đoán.</w:t>
      </w:r>
    </w:p>
    <w:p>
      <w:r>
        <w:rPr>
          <w:b/>
        </w:rPr>
        <w:t>Lý do drug_dosage gate = not_applicable:</w:t>
      </w:r>
      <w:r>
        <w:t xml:space="preserve"> Brief cấm liều cụ thể → bảng thuốc section 8 không có số mg → gate drug_dosage_patterns sẽ fail nhưng đây là intentional, không phải thiếu sót.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