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Câu hỏi: Tình huống giả lập — Tiêu chảy cấp/mạn và viêm đại tràng (IM-38)</w:t>
      </w:r>
    </w:p>
    <w:p>
      <w:pPr>
        <w:spacing w:before="0" w:after="80" w:line="276" w:lineRule="auto"/>
      </w:pPr>
      <w:r>
        <w:t>Ngày: 2026-07-21</w:t>
      </w:r>
    </w:p>
    <w:p>
      <w:pPr>
        <w:spacing w:before="0" w:after="80" w:line="276" w:lineRule="auto"/>
      </w:pPr>
      <w:r>
        <w:t>Chủ đề: noi-khoa</w:t>
      </w:r>
    </w:p>
    <w:p>
      <w:pPr>
        <w:spacing w:before="0" w:after="80" w:line="276" w:lineRule="auto"/>
      </w:pPr>
      <w:r>
        <w:t>Tag: #tieu-hoa #tieu-chay #cdi #ibd #case-lam-sang #im-38</w:t>
      </w:r>
    </w:p>
    <w:p>
      <w:pPr>
        <w:spacing w:before="0" w:after="80" w:line="276" w:lineRule="auto"/>
      </w:pPr>
      <w:r>
        <w:t>Mức chắc chắn: Trung bình–Cao (bám sát guideline IDSA/ACG/AGA đã verify trong IM-38)</w:t>
      </w:r>
    </w:p>
    <w:p>
      <w:pPr>
        <w:spacing w:before="0" w:after="80" w:line="276" w:lineRule="auto"/>
      </w:pPr>
      <w:r>
        <w:t>Loại: Case lâm sàng</w:t>
      </w:r>
    </w:p>
    <w:p>
      <w:pPr>
        <w:spacing w:before="0" w:after="80" w:line="276" w:lineRule="auto"/>
      </w:pPr>
      <w:r>
        <w:t>Promote: Có</w:t>
      </w:r>
    </w:p>
    <w:p>
      <w:pPr>
        <w:pStyle w:val="Heading2"/>
        <w:spacing w:before="240" w:after="80"/>
      </w:pPr>
      <w:r>
        <w:t>Mục tiêu</w:t>
      </w:r>
    </w:p>
    <w:p>
      <w:pPr>
        <w:spacing w:before="0" w:after="80" w:line="276" w:lineRule="auto"/>
      </w:pPr>
      <w:r>
        <w:t>5 tình huống giả lập bao phủ các điểm quyết định chính trong IM-38:</w:t>
      </w:r>
    </w:p>
    <w:p>
      <w:pPr>
        <w:pStyle w:val="ListNumber"/>
        <w:spacing w:before="20" w:after="40"/>
      </w:pPr>
      <w:r>
        <w:t>Tiêu chảy phân nước cấp — bù dịch và ngưỡng chuyển tuyến</w:t>
      </w:r>
    </w:p>
    <w:p>
      <w:pPr>
        <w:pStyle w:val="ListNumber"/>
        <w:spacing w:before="20" w:after="40"/>
      </w:pPr>
      <w:r>
        <w:t>Tiêu chảy phân máu — STEC và quy tắc không kháng sinh</w:t>
      </w:r>
    </w:p>
    <w:p>
      <w:pPr>
        <w:pStyle w:val="ListNumber"/>
        <w:spacing w:before="20" w:after="40"/>
      </w:pPr>
      <w:r>
        <w:t>CDI — chọn người test, phân độ, điều trị</w:t>
      </w:r>
    </w:p>
    <w:p>
      <w:pPr>
        <w:pStyle w:val="ListNumber"/>
        <w:spacing w:before="20" w:after="40"/>
      </w:pPr>
      <w:r>
        <w:t>Tiêu chảy kéo dài — chuyển từ tư duy cấp sang mạn</w:t>
      </w:r>
    </w:p>
    <w:p>
      <w:pPr>
        <w:pStyle w:val="ListNumber"/>
        <w:spacing w:before="20" w:after="40"/>
      </w:pPr>
      <w:r>
        <w:t>Viêm đại tràng — phân biệt nhiễm trùng với IBD</w:t>
      </w:r>
    </w:p>
    <w:p>
      <w:pPr>
        <w:spacing w:before="0" w:after="80" w:line="276" w:lineRule="auto"/>
      </w:pPr>
      <w:r>
        <w:t>---</w:t>
      </w:r>
    </w:p>
    <w:p>
      <w:pPr>
        <w:pStyle w:val="Heading2"/>
        <w:spacing w:before="240" w:after="80"/>
      </w:pPr>
      <w:r>
        <w:t>Case 1: Bà Lan — tiêu chảy phân nước cấp</w:t>
      </w:r>
    </w:p>
    <w:p>
      <w:pPr>
        <w:spacing w:before="0" w:after="80" w:line="276" w:lineRule="auto"/>
      </w:pPr>
      <w:r>
        <w:rPr>
          <w:b/>
        </w:rPr>
        <w:t>Bệnh nhân:</w:t>
      </w:r>
      <w:r>
        <w:t xml:space="preserve"> Nữ 28 tuổi, không bệnh nền. Đi ngoài phân lỏng nước 8 lần/24h, khởi phát sau ăn tiệc cưới 2 ngày trước. Không sốt, không máu trong phân. Bụng mềm, không phản ứng. Niêm mạc miệng khô, da không véo được. Uống được từng ngụm nhỏ nhưng sau 500 mL ORS thì nôn. Mạch 100 lần/phút, HA 100/70 mmHg.</w:t>
      </w:r>
    </w:p>
    <w:p>
      <w:pPr>
        <w:spacing w:before="0" w:after="80" w:line="276" w:lineRule="auto"/>
      </w:pPr>
      <w:r>
        <w:rPr>
          <w:b/>
        </w:rPr>
        <w:t>Câu hỏi 1:</w:t>
      </w:r>
      <w:r>
        <w:t xml:space="preserve"> Bước xử trí tiếp theo là gì?</w:t>
      </w:r>
    </w:p>
    <w:p>
      <w:pPr>
        <w:spacing w:before="0" w:after="80" w:line="276" w:lineRule="auto"/>
      </w:pPr>
      <w:r>
        <w:rPr>
          <w:b/>
        </w:rPr>
        <w:t>Câu hỏi 2:</w:t>
      </w:r>
      <w:r>
        <w:t xml:space="preserve"> Khi nào bà Lan cần nhập viện thay vì tiếp tục bù dịch ngoại trú?</w:t>
      </w:r>
    </w:p>
    <w:p>
      <w:pPr>
        <w:spacing w:before="0" w:after="80" w:line="276" w:lineRule="auto"/>
      </w:pPr>
      <w:r>
        <w:rPr>
          <w:i/>
        </w:rPr>
        <w:t>(Gợi ý trả lời:)</w:t>
      </w:r>
    </w:p>
    <w:p>
      <w:pPr>
        <w:spacing w:before="0" w:after="80" w:line="276" w:lineRule="auto"/>
      </w:pPr>
      <w:r>
        <w:rPr>
          <w:b/>
        </w:rPr>
        <w:t>Đáp án 1:</w:t>
      </w:r>
      <w:r>
        <w:t xml:space="preserve"> Ngừng ORS đường uống vì thất bại (nôn). Chuyển sang dịch tinh thể đẳng trương đường tĩnh mạch (Lactated Ringer hoặc Normal Saline). ORS không còn phù hợp khi: mất nước nặng, không thể uống, nôn, thay đổi tri giác, sốc hoặc liệt ruột (PMID: 29194529).</w:t>
      </w:r>
    </w:p>
    <w:p>
      <w:pPr>
        <w:spacing w:before="0" w:after="80" w:line="276" w:lineRule="auto"/>
      </w:pPr>
      <w:r>
        <w:rPr>
          <w:b/>
        </w:rPr>
        <w:t>Đáp án 2:</w:t>
      </w:r>
      <w:r>
        <w:t xml:space="preserve"> Nhập viện khi: (a) sinh hiệu không ổn định hoặc dấu giảm tưới máu tiến triển dù đã bù dịch, (b) không dung nạp đường uống kéo dài, (c) xuất hiện dấu bụng ngoại khoa (cứng bụng, phản ứng phúc mạc), (d) thay đổi tri giác, hoặc (e) bệnh nền khiến dự trữ sinh lý thấp.</w:t>
      </w:r>
    </w:p>
    <w:p>
      <w:pPr>
        <w:spacing w:before="0" w:after="80" w:line="276" w:lineRule="auto"/>
      </w:pPr>
      <w:r>
        <w:rPr>
          <w:b/>
        </w:rPr>
        <w:t>Vì sao các lựa chọn sai không phù hợp:</w:t>
      </w:r>
    </w:p>
    <w:p>
      <w:pPr>
        <w:pStyle w:val="ListBullet"/>
        <w:spacing w:before="20" w:after="40"/>
      </w:pPr>
      <w:r>
        <w:t>"Tiếp tục ORS, uống chậm hơn": bệnh nhân đã nôn sau 500 mL → không dung nạp → cần IV.</w:t>
      </w:r>
    </w:p>
    <w:p>
      <w:pPr>
        <w:pStyle w:val="ListBullet"/>
        <w:spacing w:before="20" w:after="40"/>
      </w:pPr>
      <w:r>
        <w:t>"Kê kháng sinh ngay vì nghi nhiễm trùng": phân nước đơn thuần, không sốt, không máu → ưu tiên bù dịch, không phải kháng sinh.</w:t>
      </w:r>
    </w:p>
    <w:p>
      <w:pPr>
        <w:pStyle w:val="ListBullet"/>
        <w:spacing w:before="20" w:after="40"/>
      </w:pPr>
      <w:r>
        <w:t>"Kê loperamide": thuốc giảm nhu động không dùng khi chưa loại trừ viêm/nhiễm trùng; che lấp diễn tiến.</w:t>
      </w:r>
    </w:p>
    <w:p>
      <w:pPr>
        <w:spacing w:before="0" w:after="80" w:line="276" w:lineRule="auto"/>
      </w:pPr>
      <w:r>
        <w:t>---</w:t>
      </w:r>
    </w:p>
    <w:p>
      <w:pPr>
        <w:pStyle w:val="Heading2"/>
        <w:spacing w:before="240" w:after="80"/>
      </w:pPr>
      <w:r>
        <w:t>Case 2: Ông Tùng — tiêu chảy phân máu</w:t>
      </w:r>
    </w:p>
    <w:p>
      <w:pPr>
        <w:spacing w:before="0" w:after="80" w:line="276" w:lineRule="auto"/>
      </w:pPr>
      <w:r>
        <w:rPr>
          <w:b/>
        </w:rPr>
        <w:t>Bệnh nhân:</w:t>
      </w:r>
      <w:r>
        <w:t xml:space="preserve"> Nam 52 tuổi, trước đó khỏe mạnh. Sốt 38.5°C, đau quặn bụng dưới, đi ngoài 10 lần/24h, phân có máu đỏ tươi và nhầy, mót rặn. HA 120/80, mạch 90, tỉnh táo, uống được ORS. Không dùng kháng sinh gần đây, không nhập viện.</w:t>
      </w:r>
    </w:p>
    <w:p>
      <w:pPr>
        <w:spacing w:before="0" w:after="80" w:line="276" w:lineRule="auto"/>
      </w:pPr>
      <w:r>
        <w:rPr>
          <w:b/>
        </w:rPr>
        <w:t>Câu hỏi 1:</w:t>
      </w:r>
      <w:r>
        <w:t xml:space="preserve"> Trước khi cân nhắc kháng sinh, hai việc phải làm là gì?</w:t>
      </w:r>
    </w:p>
    <w:p>
      <w:pPr>
        <w:spacing w:before="0" w:after="80" w:line="276" w:lineRule="auto"/>
      </w:pPr>
      <w:r>
        <w:rPr>
          <w:b/>
        </w:rPr>
        <w:t>Câu hỏi 2:</w:t>
      </w:r>
      <w:r>
        <w:t xml:space="preserve"> Cấy phân mọc E. coli. Bác sĩ trực định kê ciprofloxacin. Bạn đồng ý hay phản đối? Vì sao?</w:t>
      </w:r>
    </w:p>
    <w:p>
      <w:pPr>
        <w:spacing w:before="0" w:after="80" w:line="276" w:lineRule="auto"/>
      </w:pPr>
      <w:r>
        <w:rPr>
          <w:i/>
        </w:rPr>
        <w:t>(Gợi ý trả lời:)</w:t>
      </w:r>
    </w:p>
    <w:p>
      <w:pPr>
        <w:spacing w:before="0" w:after="80" w:line="276" w:lineRule="auto"/>
      </w:pPr>
      <w:r>
        <w:rPr>
          <w:b/>
        </w:rPr>
        <w:t>Đáp án 1:</w:t>
      </w:r>
      <w:r>
        <w:t xml:space="preserve"> (1) Đánh giá red flags và xác nhận kiểu hình viêm/phân máu + phơi nhiễm. (2) Cân nhắc lấy mẫu phân tìm STEC (Shiga toxin-producing E. coli) trước khi dùng kháng sinh — vì kháng sinh trong STEC làm tăng nguy cơ HUS (hội chứng tán huyết–tăng ure máu).</w:t>
      </w:r>
    </w:p>
    <w:p>
      <w:pPr>
        <w:spacing w:before="0" w:after="80" w:line="276" w:lineRule="auto"/>
      </w:pPr>
      <w:r>
        <w:rPr>
          <w:b/>
        </w:rPr>
        <w:t>Đáp án 2:</w:t>
      </w:r>
      <w:r>
        <w:t xml:space="preserve"> Phản đối nếu chưa loại trừ STEC. Cấy phân mọc E. coli không phân biệt được chủng sinh độc tố Shiga với E. coli thường. Nếu đây là STEC, kháng sinh (đặc biệt fluoroquinolone) làm tăng giải phóng độc tố Shiga → tăng nguy cơ HUS. Phải chờ kết quả Shiga toxin assay hoặc PCR STEC trước khi quyết định kháng sinh. Nếu bệnh nhân nặng lên, hội chẩn Truyền nhiễm.</w:t>
      </w:r>
    </w:p>
    <w:p>
      <w:pPr>
        <w:spacing w:before="0" w:after="80" w:line="276" w:lineRule="auto"/>
      </w:pPr>
      <w:r>
        <w:rPr>
          <w:b/>
        </w:rPr>
        <w:t>Vì sao các lựa chọn sai không phù hợp:</w:t>
      </w:r>
    </w:p>
    <w:p>
      <w:pPr>
        <w:pStyle w:val="ListBullet"/>
        <w:spacing w:before="20" w:after="40"/>
      </w:pPr>
      <w:r>
        <w:t>"Ciprofloxacin ngay vì cấy dương tính": E. coli trong cấy phân có thể là chủng thường hoặc STEC; không phân biệt được nếu không test độc tố.</w:t>
      </w:r>
    </w:p>
    <w:p>
      <w:pPr>
        <w:pStyle w:val="ListBullet"/>
        <w:spacing w:before="20" w:after="40"/>
      </w:pPr>
      <w:r>
        <w:t>"Kê metronidazole thay ciprofloxacin": không giải quyết vấn đề — vẫn là kháng sinh mù trước khi loại STEC.</w:t>
      </w:r>
    </w:p>
    <w:p>
      <w:pPr>
        <w:pStyle w:val="ListBullet"/>
        <w:spacing w:before="20" w:after="40"/>
      </w:pPr>
      <w:r>
        <w:t>"Kê loperamide cầm tiêu chảy": chống chỉ định trong tiêu chảy viêm/phân máu — giữ độc tố và vi khuẩn trong ruột.</w:t>
      </w:r>
    </w:p>
    <w:p>
      <w:pPr>
        <w:spacing w:before="0" w:after="80" w:line="276" w:lineRule="auto"/>
      </w:pPr>
      <w:r>
        <w:t>---</w:t>
      </w:r>
    </w:p>
    <w:p>
      <w:pPr>
        <w:pStyle w:val="Heading2"/>
        <w:spacing w:before="240" w:after="80"/>
      </w:pPr>
      <w:r>
        <w:t>Case 3: Bà Hạnh — CDI sau kháng sinh</w:t>
      </w:r>
    </w:p>
    <w:p>
      <w:pPr>
        <w:spacing w:before="0" w:after="80" w:line="276" w:lineRule="auto"/>
      </w:pPr>
      <w:r>
        <w:rPr>
          <w:b/>
        </w:rPr>
        <w:t>Bệnh nhân:</w:t>
      </w:r>
      <w:r>
        <w:t xml:space="preserve"> Nữ 72 tuổi, đang nằm viện điều trị viêm phổi cộng đồng bằng ceftriaxone ngày thứ 7. Hôm nay xuất hiện tiêu chảy 6 lần/24h, phân lỏng không giữ hình dạng, không máu. Bụng mềm, không sốt. WBC 12.000, creatinine 1,1 mg/dL. Đã ngừng thuốc nhuận tràng từ 3 ngày trước.</w:t>
      </w:r>
    </w:p>
    <w:p>
      <w:pPr>
        <w:spacing w:before="0" w:after="80" w:line="276" w:lineRule="auto"/>
      </w:pPr>
      <w:r>
        <w:rPr>
          <w:b/>
        </w:rPr>
        <w:t>Câu hỏi 1:</w:t>
      </w:r>
      <w:r>
        <w:t xml:space="preserve"> Bà Hạnh có đủ tiêu chuẩn test CDI không? Giải thích.</w:t>
      </w:r>
    </w:p>
    <w:p>
      <w:pPr>
        <w:spacing w:before="0" w:after="80" w:line="276" w:lineRule="auto"/>
      </w:pPr>
      <w:r>
        <w:rPr>
          <w:b/>
        </w:rPr>
        <w:t>Câu hỏi 2:</w:t>
      </w:r>
      <w:r>
        <w:t xml:space="preserve"> Kết quả: GDH (+), toxin (-), NAAT (+). Bạn chẩn đoán và xử trí thế nào?</w:t>
      </w:r>
    </w:p>
    <w:p>
      <w:pPr>
        <w:spacing w:before="0" w:after="80" w:line="276" w:lineRule="auto"/>
      </w:pPr>
      <w:r>
        <w:rPr>
          <w:b/>
        </w:rPr>
        <w:t>Câu hỏi 3:</w:t>
      </w:r>
      <w:r>
        <w:t xml:space="preserve"> Nếu xác định CDI không nặng, chọn thuốc gì? Liều thế nào?</w:t>
      </w:r>
    </w:p>
    <w:p>
      <w:pPr>
        <w:spacing w:before="0" w:after="80" w:line="276" w:lineRule="auto"/>
      </w:pPr>
      <w:r>
        <w:rPr>
          <w:i/>
        </w:rPr>
        <w:t>(Gợi ý trả lời:)</w:t>
      </w:r>
    </w:p>
    <w:p>
      <w:pPr>
        <w:spacing w:before="0" w:after="80" w:line="276" w:lineRule="auto"/>
      </w:pPr>
      <w:r>
        <w:rPr>
          <w:b/>
        </w:rPr>
        <w:t>Đáp án 1:</w:t>
      </w:r>
      <w:r>
        <w:t xml:space="preserve"> Có đủ tiêu chuẩn test: (a) ≥3 lần phân không thành khuôn/24h, (b) mới khởi phát, (c) không giải thích được bởi thuốc nhuận tràng (đã ngừng 3 ngày), (d) đang dùng kháng sinh + nằm viện — đúng bối cảnh CDI. Gửi phân lỏng, không gửi phân khuôn (PMID: 29462280).</w:t>
      </w:r>
    </w:p>
    <w:p>
      <w:pPr>
        <w:spacing w:before="0" w:after="80" w:line="276" w:lineRule="auto"/>
      </w:pPr>
      <w:r>
        <w:rPr>
          <w:b/>
        </w:rPr>
        <w:t>Đáp án 2:</w:t>
      </w:r>
      <w:r>
        <w:t xml:space="preserve"> GDH (+)/toxin (-)/NAAT (+) = có chủng C. difficile sinh độc tố nhưng không phát hiện độc tố tự do. Đây là tình huống cần đối chiếu lâm sàng: nếu hội chứng tiêu chảy phù hợp → CDI có thể và cần quyết định điều trị dựa trên lâm sàng. Nếu không có tiêu chuẩn nộp mẫu nghiêm ngặt, NAAT đơn độc có thể dương tính ở người mang khuẩn không bệnh. Hội chẩn Vi sinh/Truyền nhiễm nếu không chắc. Không dùng test như "tầm soát mang khuẩn."</w:t>
      </w:r>
    </w:p>
    <w:p>
      <w:pPr>
        <w:spacing w:before="0" w:after="80" w:line="276" w:lineRule="auto"/>
      </w:pPr>
      <w:r>
        <w:rPr>
          <w:b/>
        </w:rPr>
        <w:t>Đáp án 3:</w:t>
      </w:r>
      <w:r>
        <w:t xml:space="preserve"> Fidaxomicin 200 mg uống, 2 lần/ngày × 10 ngày (ưu tiên hơn vancomycin). Hoặc vancomycin 125 mg uống, 4 lần/ngày × 10 ngày. Đồng thời xem lại kháng sinh đang dùng, ngừng kháng sinh không còn chỉ định nếu an toàn (PMID: 34164674).</w:t>
      </w:r>
    </w:p>
    <w:p>
      <w:pPr>
        <w:spacing w:before="0" w:after="80" w:line="276" w:lineRule="auto"/>
      </w:pPr>
      <w:r>
        <w:rPr>
          <w:b/>
        </w:rPr>
        <w:t>Phân độ:</w:t>
      </w:r>
      <w:r>
        <w:t xml:space="preserve"> WBC 12.000 (&lt;15.000) và creatinine 1,1 (&lt;1,5) → CDI không nặng (PMID: 29462280).</w:t>
      </w:r>
    </w:p>
    <w:p>
      <w:pPr>
        <w:spacing w:before="0" w:after="80" w:line="276" w:lineRule="auto"/>
      </w:pPr>
      <w:r>
        <w:rPr>
          <w:b/>
        </w:rPr>
        <w:t>Vì sao các lựa chọn sai không phù hợp:</w:t>
      </w:r>
    </w:p>
    <w:p>
      <w:pPr>
        <w:pStyle w:val="ListBullet"/>
        <w:spacing w:before="20" w:after="40"/>
      </w:pPr>
      <w:r>
        <w:t>"Chỉ GDH (+), toxin (-) → không phải CDI, không điều trị": sai — cần đọc trong thuật toán nhiều bước và đối chiếu lâm sàng.</w:t>
      </w:r>
    </w:p>
    <w:p>
      <w:pPr>
        <w:pStyle w:val="ListBullet"/>
        <w:spacing w:before="20" w:after="40"/>
      </w:pPr>
      <w:r>
        <w:t>"Metronidazole uống 500mg × 3": không còn là lựa chọn đầu tay cho CDI không nặng theo IDSA/SHEA 2021.</w:t>
      </w:r>
    </w:p>
    <w:p>
      <w:pPr>
        <w:pStyle w:val="ListBullet"/>
        <w:spacing w:before="20" w:after="40"/>
      </w:pPr>
      <w:r>
        <w:t>"Vancomycin IV": vô ích — vancomycin không hấp thu qua đường tiêu hóa khi dùng IV; CDI cần vancomycin đường uống.</w:t>
      </w:r>
    </w:p>
    <w:p>
      <w:pPr>
        <w:spacing w:before="0" w:after="80" w:line="276" w:lineRule="auto"/>
      </w:pPr>
      <w:r>
        <w:t>---</w:t>
      </w:r>
    </w:p>
    <w:p>
      <w:pPr>
        <w:pStyle w:val="Heading2"/>
        <w:spacing w:before="240" w:after="80"/>
      </w:pPr>
      <w:r>
        <w:t>Case 4: Anh Minh — tiêu chảy kéo dài</w:t>
      </w:r>
    </w:p>
    <w:p>
      <w:pPr>
        <w:spacing w:before="0" w:after="80" w:line="276" w:lineRule="auto"/>
      </w:pPr>
      <w:r>
        <w:rPr>
          <w:b/>
        </w:rPr>
        <w:t>Bệnh nhân:</w:t>
      </w:r>
      <w:r>
        <w:t xml:space="preserve"> Nam 35 tuổi, tiêu chảy phân nước 18 ngày, 4-5 lần/ngày, không sốt, không máu. Đã tự dùng loperamide và men tiêu hóa không đỡ. Không sụt cân rõ, bụng mềm. Xét nghiệm phân ban đầu: cấy phân (-), soi trứng ký sinh trùng (-). Bác sĩ phòng khám định kê thêm một đợt kháng sinh kinh nghiệm.</w:t>
      </w:r>
    </w:p>
    <w:p>
      <w:pPr>
        <w:spacing w:before="0" w:after="80" w:line="276" w:lineRule="auto"/>
      </w:pPr>
      <w:r>
        <w:rPr>
          <w:b/>
        </w:rPr>
        <w:t>Câu hỏi 1:</w:t>
      </w:r>
      <w:r>
        <w:t xml:space="preserve"> 18 ngày tiêu chảy thuộc nhóm thời gian nào? Điều này thay đổi cách tiếp cận ra sao?</w:t>
      </w:r>
    </w:p>
    <w:p>
      <w:pPr>
        <w:spacing w:before="0" w:after="80" w:line="276" w:lineRule="auto"/>
      </w:pPr>
      <w:r>
        <w:rPr>
          <w:b/>
        </w:rPr>
        <w:t>Câu hỏi 2:</w:t>
      </w:r>
      <w:r>
        <w:t xml:space="preserve"> Thay vì kê kháng sinh, bạn sẽ làm gì tiếp theo?</w:t>
      </w:r>
    </w:p>
    <w:p>
      <w:pPr>
        <w:spacing w:before="0" w:after="80" w:line="276" w:lineRule="auto"/>
      </w:pPr>
      <w:r>
        <w:rPr>
          <w:i/>
        </w:rPr>
        <w:t>(Gợi ý trả lời:)</w:t>
      </w:r>
    </w:p>
    <w:p>
      <w:pPr>
        <w:spacing w:before="0" w:after="80" w:line="276" w:lineRule="auto"/>
      </w:pPr>
      <w:r>
        <w:rPr>
          <w:b/>
        </w:rPr>
        <w:t>Đáp án 1:</w:t>
      </w:r>
      <w:r>
        <w:t xml:space="preserve"> 18 ngày = </w:t>
      </w:r>
      <w:r>
        <w:rPr>
          <w:b/>
        </w:rPr>
        <w:t>tiêu chảy kéo dài (persistent)</w:t>
      </w:r>
      <w:r>
        <w:t xml:space="preserve"> — định nghĩa 14–29 ngày (PMID: 29194529). Không còn là tiêu chảy cấp đơn giản. Phải chuyển tư duy: ngừng kháng sinh kinh nghiệm, mở đường đánh giá nguyên nhân hữu cơ.</w:t>
      </w:r>
    </w:p>
    <w:p>
      <w:pPr>
        <w:spacing w:before="0" w:after="80" w:line="276" w:lineRule="auto"/>
      </w:pPr>
      <w:r>
        <w:rPr>
          <w:b/>
        </w:rPr>
        <w:t>Đáp án 2:</w:t>
      </w:r>
      <w:r>
        <w:t xml:space="preserve"> Ba hướng song song cho tiêu chảy kéo dài phân nước:</w:t>
      </w:r>
    </w:p>
    <w:p>
      <w:pPr>
        <w:pStyle w:val="ListNumber"/>
        <w:spacing w:before="20" w:after="40"/>
      </w:pPr>
      <w:r>
        <w:rPr>
          <w:b/>
        </w:rPr>
        <w:t>Xét nghiệm tác nhân chọn lọc:</w:t>
      </w:r>
      <w:r>
        <w:t xml:space="preserve"> kháng nguyên/PCR </w:t>
      </w:r>
      <w:r>
        <w:rPr>
          <w:i/>
        </w:rPr>
        <w:t>Giardia</w:t>
      </w:r>
      <w:r>
        <w:t xml:space="preserve"> (tác nhân hàng đầu gây tiêu chảy kéo dài phân nước), xét nghiệm CDI nếu có yếu tố nguy cơ.</w:t>
      </w:r>
    </w:p>
    <w:p>
      <w:pPr>
        <w:pStyle w:val="ListNumber"/>
        <w:spacing w:before="20" w:after="40"/>
      </w:pPr>
      <w:r>
        <w:rPr>
          <w:b/>
        </w:rPr>
        <w:t>Sàng lọc bệnh lý hữu cơ:</w:t>
      </w:r>
      <w:r>
        <w:t xml:space="preserve"> IgA tTG + tổng IgA (bệnh coeliac), calprotectin phân (sàng lọc viêm ruột). AGA 2019 khuyến cáo calprotectin/lactoferrin để sàng lọc IBD trong tiêu chảy mạn phân nước (PMID: 31302098).</w:t>
      </w:r>
    </w:p>
    <w:p>
      <w:pPr>
        <w:pStyle w:val="ListNumber"/>
        <w:spacing w:before="20" w:after="40"/>
      </w:pPr>
      <w:r>
        <w:rPr>
          <w:b/>
        </w:rPr>
        <w:t>Rà soát thuốc:</w:t>
      </w:r>
      <w:r>
        <w:t xml:space="preserve"> loperamide và men tiêu hóa có giải thích được không; có thuốc nào khác gây tiêu chảy không.</w:t>
      </w:r>
    </w:p>
    <w:p>
      <w:pPr>
        <w:spacing w:before="0" w:after="80" w:line="276" w:lineRule="auto"/>
      </w:pPr>
      <w:r>
        <w:rPr>
          <w:b/>
        </w:rPr>
        <w:t>Vì saa các lựa chọn sai không phù hợp:</w:t>
      </w:r>
    </w:p>
    <w:p>
      <w:pPr>
        <w:pStyle w:val="ListBullet"/>
        <w:spacing w:before="20" w:after="40"/>
      </w:pPr>
      <w:r>
        <w:t>"Thêm một đợt kháng sinh kinh nghiệm": kéo dài tư duy của tiêu chảy cấp; làm mờ chẩn đoán, trì hoãn phát hiện nguyên nhân hữu cơ.</w:t>
      </w:r>
    </w:p>
    <w:p>
      <w:pPr>
        <w:pStyle w:val="ListBullet"/>
        <w:spacing w:before="20" w:after="40"/>
      </w:pPr>
      <w:r>
        <w:t>"Tiếp tục loperamide + theo dõi": che lấp triệu chứng, không giải quyết nguyên nhân.</w:t>
      </w:r>
    </w:p>
    <w:p>
      <w:pPr>
        <w:pStyle w:val="ListBullet"/>
        <w:spacing w:before="20" w:after="40"/>
      </w:pPr>
      <w:r>
        <w:t>"Nội soi đại tràng ngay": chưa cần nếu chưa có dấu hiệu viêm (máu, calprotectin tăng, red flags). Làm xét nghiệm không xâm lấn trước.</w:t>
      </w:r>
    </w:p>
    <w:p>
      <w:pPr>
        <w:spacing w:before="0" w:after="80" w:line="276" w:lineRule="auto"/>
      </w:pPr>
      <w:r>
        <w:t>---</w:t>
      </w:r>
    </w:p>
    <w:p>
      <w:pPr>
        <w:pStyle w:val="Heading2"/>
        <w:spacing w:before="240" w:after="80"/>
      </w:pPr>
      <w:r>
        <w:t>Case 5: Chị Thảo — nghi IBD</w:t>
      </w:r>
    </w:p>
    <w:p>
      <w:pPr>
        <w:spacing w:before="0" w:after="80" w:line="276" w:lineRule="auto"/>
      </w:pPr>
      <w:r>
        <w:rPr>
          <w:b/>
        </w:rPr>
        <w:t>Bệnh nhân:</w:t>
      </w:r>
      <w:r>
        <w:t xml:space="preserve"> Nữ 26 tuổi, tiêu chảy phân máu từng đợt 2 tháng nay, kèm đau quặn bụng dưới, mót rặn, sụt 3 kg. Mỗi đợt kéo dài 1-2 tuần rồi tự giảm. Không dùng kháng sinh gần đây. Xét nghiệm phân: cấy (-), STEC (-), CDI (-). Calprotectin phân 480 μg/g. CRP 18 mg/L.</w:t>
      </w:r>
    </w:p>
    <w:p>
      <w:pPr>
        <w:spacing w:before="0" w:after="80" w:line="276" w:lineRule="auto"/>
      </w:pPr>
      <w:r>
        <w:rPr>
          <w:b/>
        </w:rPr>
        <w:t>Câu hỏi 1:</w:t>
      </w:r>
      <w:r>
        <w:t xml:space="preserve"> Calprotectin 480 trả lời được điều gì và không trả lời được điều gì?</w:t>
      </w:r>
    </w:p>
    <w:p>
      <w:pPr>
        <w:spacing w:before="0" w:after="80" w:line="276" w:lineRule="auto"/>
      </w:pPr>
      <w:r>
        <w:rPr>
          <w:b/>
        </w:rPr>
        <w:t>Câu hỏi 2:</w:t>
      </w:r>
      <w:r>
        <w:t xml:space="preserve"> Bước tiếp theo của bạn là gì? Có cần xét nghiệm thêm trước khi chuyển chuyên khoa không?</w:t>
      </w:r>
    </w:p>
    <w:p>
      <w:pPr>
        <w:spacing w:before="0" w:after="80" w:line="276" w:lineRule="auto"/>
      </w:pPr>
      <w:r>
        <w:rPr>
          <w:i/>
        </w:rPr>
        <w:t>(Gợi ý trả lời:)</w:t>
      </w:r>
    </w:p>
    <w:p>
      <w:pPr>
        <w:spacing w:before="0" w:after="80" w:line="276" w:lineRule="auto"/>
      </w:pPr>
      <w:r>
        <w:rPr>
          <w:b/>
        </w:rPr>
        <w:t>Đáp án 1:</w:t>
      </w:r>
      <w:r>
        <w:t xml:space="preserve"> Calprotectin 480 (&gt;50 μg/g) trả lời: </w:t>
      </w:r>
      <w:r>
        <w:rPr>
          <w:b/>
        </w:rPr>
        <w:t>có viêm ruột đáng quan tâm</w:t>
      </w:r>
      <w:r>
        <w:t>. Không trả lời: (a) viêm do nhiễm trùng hay IBD, (b) UC hay Crohn, (c) mức độ nặng tổn thương trên nội soi. Calprotectin là công cụ triage (phân luồng), không phải công cụ chẩn đoán xác định (PMID: 31302098).</w:t>
      </w:r>
    </w:p>
    <w:p>
      <w:pPr>
        <w:spacing w:before="0" w:after="80" w:line="276" w:lineRule="auto"/>
      </w:pPr>
      <w:r>
        <w:rPr>
          <w:b/>
        </w:rPr>
        <w:t>Đáp án 2:</w:t>
      </w:r>
    </w:p>
    <w:p>
      <w:pPr>
        <w:pStyle w:val="ListNumber"/>
        <w:spacing w:before="20" w:after="40"/>
      </w:pPr>
      <w:r>
        <w:t>Đã loại trừ tác nhân nhiễm trùng thường gặp (cấy phân, STEC, CDI) → đúng quy trình.</w:t>
      </w:r>
    </w:p>
    <w:p>
      <w:pPr>
        <w:pStyle w:val="ListNumber"/>
        <w:spacing w:before="20" w:after="40"/>
      </w:pPr>
      <w:r>
        <w:t xml:space="preserve">Calprotectin tăng + phân máu tái diễn + sụt cân (red flag) → </w:t>
      </w:r>
      <w:r>
        <w:rPr>
          <w:b/>
        </w:rPr>
        <w:t>chuyển chuyên khoa Tiêu hóa để nội soi và mô bệnh học</w:t>
      </w:r>
      <w:r>
        <w:t>. Đây không phải ca theo dõi ngoại trú kéo dài.</w:t>
      </w:r>
    </w:p>
    <w:p>
      <w:pPr>
        <w:pStyle w:val="ListNumber"/>
        <w:spacing w:before="20" w:after="40"/>
      </w:pPr>
      <w:r>
        <w:t>Bridge care trong lúc chờ: bù dịch nếu cần, theo dõi red flags (đau tăng, chướng bụng, XHTH nặng), tránh thuốc cầm tiêu chảy/loperamide, không khởi phác đồ duy trì IBD dựa trên calprotectin đơn độc.</w:t>
      </w:r>
    </w:p>
    <w:p>
      <w:pPr>
        <w:spacing w:before="0" w:after="80" w:line="276" w:lineRule="auto"/>
      </w:pPr>
      <w:r>
        <w:rPr>
          <w:b/>
        </w:rPr>
        <w:t>Vì sao các lựa chọn sai không phù hợp:</w:t>
      </w:r>
    </w:p>
    <w:p>
      <w:pPr>
        <w:pStyle w:val="ListBullet"/>
        <w:spacing w:before="20" w:after="40"/>
      </w:pPr>
      <w:r>
        <w:t>"Calprotectin 480 = IBD → bắt đầu mesalamine": sai — chưa loại hết nhiễm trùng, chưa có nội soi + mô bệnh học xác nhận. Điều trị mù làm mờ chẩn đoán.</w:t>
      </w:r>
    </w:p>
    <w:p>
      <w:pPr>
        <w:pStyle w:val="ListBullet"/>
        <w:spacing w:before="20" w:after="40"/>
      </w:pPr>
      <w:r>
        <w:t>"CRP 18 là bình thường nên không phải IBD": CRP không dùng để sàng lọc IBD trong nhóm này vì độ nhạy thấp (PMID: 31302098). Calprotectin phân mới là công cụ đúng.</w:t>
      </w:r>
    </w:p>
    <w:p>
      <w:pPr>
        <w:pStyle w:val="ListBullet"/>
        <w:spacing w:before="20" w:after="40"/>
      </w:pPr>
      <w:r>
        <w:t>"Theo dõi thêm 2 tuần, xét nghiệm lại calprotectin": không phù hợp với bệnh nhân có red flag (sụt cân) — trì hoãn chẩn đoán.</w:t>
      </w:r>
    </w:p>
    <w:p>
      <w:pPr>
        <w:spacing w:before="0" w:after="80" w:line="276" w:lineRule="auto"/>
      </w:pPr>
      <w:r>
        <w:t>---</w:t>
      </w:r>
    </w:p>
    <w:p>
      <w:pPr>
        <w:pStyle w:val="Heading2"/>
        <w:spacing w:before="240" w:after="80"/>
      </w:pPr>
      <w:r>
        <w:t>Tổng kết — 5 bài học từ 5 case</w:t>
      </w:r>
    </w:p>
    <w:p>
      <w:pPr>
        <w:pStyle w:val="ListNumber"/>
        <w:spacing w:before="20" w:after="40"/>
      </w:pPr>
      <w:r>
        <w:rPr>
          <w:b/>
        </w:rPr>
        <w:t>Bù dịch là ưu tiên số 1 trong tiêu chảy cấp.</w:t>
      </w:r>
      <w:r>
        <w:t xml:space="preserve"> ORS thất bại → IV. Không trì hoãn hồi sức để chờ xét nghiệm.</w:t>
      </w:r>
    </w:p>
    <w:p>
      <w:pPr>
        <w:pStyle w:val="ListNumber"/>
        <w:spacing w:before="20" w:after="40"/>
      </w:pPr>
      <w:r>
        <w:rPr>
          <w:b/>
        </w:rPr>
        <w:t>Tiêu chảy máu → nghĩ STEC trước khi nghĩ kháng sinh.</w:t>
      </w:r>
      <w:r>
        <w:t xml:space="preserve"> Cấy phân mọc E. coli không đủ — cần Shiga toxin assay.</w:t>
      </w:r>
    </w:p>
    <w:p>
      <w:pPr>
        <w:pStyle w:val="ListNumber"/>
        <w:spacing w:before="20" w:after="40"/>
      </w:pPr>
      <w:r>
        <w:rPr>
          <w:b/>
        </w:rPr>
        <w:t>CDI = hội chứng lâm sàng + xét nghiệm, không phải chỉ một test dương tính.</w:t>
      </w:r>
      <w:r>
        <w:t xml:space="preserve"> GDH/toxin/NAAT phải đọc trong thuật toán. Fidaxomicin &gt; vancomycin cho đợt đầu.</w:t>
      </w:r>
    </w:p>
    <w:p>
      <w:pPr>
        <w:pStyle w:val="ListNumber"/>
        <w:spacing w:before="20" w:after="40"/>
      </w:pPr>
      <w:r>
        <w:rPr>
          <w:b/>
        </w:rPr>
        <w:t>Tiêu chảy ≥14 ngày → ngừng tư duy "cấp", mở đường đánh giá hữu cơ.</w:t>
      </w:r>
      <w:r>
        <w:t xml:space="preserve"> Giardia, coeliac, calprotectin, không kháng sinh mù.</w:t>
      </w:r>
    </w:p>
    <w:p>
      <w:pPr>
        <w:pStyle w:val="ListNumber"/>
        <w:spacing w:before="20" w:after="40"/>
      </w:pPr>
      <w:r>
        <w:rPr>
          <w:b/>
        </w:rPr>
        <w:t>Calprotectin tăng = "có viêm", không phải "có IBD".</w:t>
      </w:r>
      <w:r>
        <w:t xml:space="preserve"> Cần nội soi + mô bệnh học. Không khởi điều trị duy trì IBD dựa trên calprotectin đơn độc.</w:t>
      </w:r>
    </w:p>
    <w:p>
      <w:pPr>
        <w:pStyle w:val="Heading2"/>
        <w:spacing w:before="240" w:after="80"/>
      </w:pPr>
      <w:r>
        <w:t>Nguồn</w:t>
      </w:r>
    </w:p>
    <w:p>
      <w:pPr>
        <w:pStyle w:val="ListBullet"/>
        <w:spacing w:before="20" w:after="40"/>
      </w:pPr>
      <w:r>
        <w:t>Guideline: IDSA 2017 Infectious Diarrhea (PMID 29194529), IDSA/SHEA 2017 CDI (PMID 29462280), IDSA/SHEA 2021 CDI Update (PMID 34164674), AGA 2019 Chronic Diarrhea (PMID 31302098)</w:t>
      </w:r>
    </w:p>
    <w:p>
      <w:pPr>
        <w:pStyle w:val="ListBullet"/>
        <w:spacing w:before="20" w:after="40"/>
      </w:pPr>
      <w:r>
        <w:t>Bài học gốc: IM-38 Tiêu chảy cấp/mạn và viêm đại tràng (2026-07-20)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