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Câu hỏi: Tình huống giả lập — Viêm tụy cấp và Viêm dạ dày cấp</w:t>
      </w:r>
    </w:p>
    <w:p>
      <w:pPr>
        <w:spacing w:before="0" w:after="80" w:line="276" w:lineRule="auto"/>
      </w:pPr>
      <w:r>
        <w:t>Ngày: 2026-07-21</w:t>
      </w:r>
    </w:p>
    <w:p>
      <w:pPr>
        <w:spacing w:before="0" w:after="80" w:line="276" w:lineRule="auto"/>
      </w:pPr>
      <w:r>
        <w:t>Chủ đề: noi-khoa</w:t>
      </w:r>
    </w:p>
    <w:p>
      <w:pPr>
        <w:spacing w:before="0" w:after="80" w:line="276" w:lineRule="auto"/>
      </w:pPr>
      <w:r>
        <w:t>Tag: #tieu-hoa #viem-tuy-cap #viem-da-day #case-lam-sang #im-42 #im-37</w:t>
      </w:r>
    </w:p>
    <w:p>
      <w:pPr>
        <w:spacing w:before="0" w:after="80" w:line="276" w:lineRule="auto"/>
      </w:pPr>
      <w:r>
        <w:t>Mức chắc chắn: Trung bình–Cao (bám sát guideline đã verify trong IM-42 và IM-37)</w:t>
      </w:r>
    </w:p>
    <w:p>
      <w:pPr>
        <w:spacing w:before="0" w:after="80" w:line="276" w:lineRule="auto"/>
      </w:pPr>
      <w:r>
        <w:t>Loại: Case lâm sàng</w:t>
      </w:r>
    </w:p>
    <w:p>
      <w:pPr>
        <w:spacing w:before="0" w:after="80" w:line="276" w:lineRule="auto"/>
      </w:pPr>
      <w:r>
        <w:t>Promote: Có</w:t>
      </w:r>
    </w:p>
    <w:p>
      <w:pPr>
        <w:pStyle w:val="Heading2"/>
        <w:spacing w:before="240" w:after="80"/>
      </w:pPr>
      <w:r>
        <w:t>Mục tiêu</w:t>
      </w:r>
    </w:p>
    <w:p>
      <w:pPr>
        <w:spacing w:before="0" w:after="80" w:line="276" w:lineRule="auto"/>
      </w:pPr>
      <w:r>
        <w:t>5 tình huống giả lập:</w:t>
      </w:r>
    </w:p>
    <w:p>
      <w:pPr>
        <w:pStyle w:val="ListBullet"/>
        <w:spacing w:before="20" w:after="40"/>
      </w:pPr>
      <w:r>
        <w:rPr>
          <w:b/>
        </w:rPr>
        <w:t>Case 1–3:</w:t>
      </w:r>
      <w:r>
        <w:t xml:space="preserve"> Viêm tụy cấp — chẩn đoán, phân độ BISAP, bù dịch, quyết định kháng sinh, chuyển tuyến</w:t>
      </w:r>
    </w:p>
    <w:p>
      <w:pPr>
        <w:pStyle w:val="ListBullet"/>
        <w:spacing w:before="20" w:after="40"/>
      </w:pPr>
      <w:r>
        <w:rPr>
          <w:b/>
        </w:rPr>
        <w:t>Case 4–5:</w:t>
      </w:r>
      <w:r>
        <w:t xml:space="preserve"> Viêm dạ dày cấp — H. pylori, NSAID, xử trí cấp cứu</w:t>
      </w:r>
    </w:p>
    <w:p>
      <w:pPr>
        <w:spacing w:before="0" w:after="80" w:line="276" w:lineRule="auto"/>
      </w:pPr>
      <w:r>
        <w:t>---</w:t>
      </w:r>
    </w:p>
    <w:p>
      <w:pPr>
        <w:pStyle w:val="Heading1"/>
        <w:spacing w:before="240" w:after="80"/>
      </w:pPr>
      <w:r>
        <w:t>PHẦN 1: VIÊM TỤY CẤP</w:t>
      </w:r>
    </w:p>
    <w:p>
      <w:pPr>
        <w:spacing w:before="0" w:after="80" w:line="276" w:lineRule="auto"/>
      </w:pPr>
      <w:r>
        <w:t>---</w:t>
      </w:r>
    </w:p>
    <w:p>
      <w:pPr>
        <w:pStyle w:val="Heading2"/>
        <w:spacing w:before="240" w:after="80"/>
      </w:pPr>
      <w:r>
        <w:t>Case 1: Bà Mai — Viêm tụy cấp do sỏi mật</w:t>
      </w:r>
    </w:p>
    <w:p>
      <w:pPr>
        <w:spacing w:before="0" w:after="80" w:line="276" w:lineRule="auto"/>
      </w:pPr>
      <w:r>
        <w:rPr>
          <w:b/>
        </w:rPr>
        <w:t>Bệnh nhân:</w:t>
      </w:r>
      <w:r>
        <w:t xml:space="preserve"> Nữ 48 tuổi, tiền sử sỏi túi mật 2 năm chưa mổ. Nhập cấp cứu vì đau thượng vị dữ dội đột ngột sau ăn lẩu, lan ra sau lưng, nôn 3 lần. Nằm co người, than đau không chịu nổi. Mạch 108 lần/phút, HA 105/70 mmHg, nhiệt độ 37.6°C, SpO₂ 96%. Bụng chướng nhẹ thượng vị, ấn đau, không phản ứng. Bệnh viện tuyến tỉnh, không có CT về đêm.</w:t>
      </w:r>
    </w:p>
    <w:p>
      <w:pPr>
        <w:spacing w:before="0" w:after="80" w:line="276" w:lineRule="auto"/>
      </w:pPr>
      <w:r>
        <w:rPr>
          <w:b/>
        </w:rPr>
        <w:t>Câu hỏi 1:</w:t>
      </w:r>
      <w:r>
        <w:t xml:space="preserve"> Với phương tiện sẵn có (siêu âm + xét nghiệm), bạn chẩn đoán xác định viêm tụy cấp bằng tiêu chuẩn nào?</w:t>
      </w:r>
    </w:p>
    <w:p>
      <w:pPr>
        <w:spacing w:before="0" w:after="80" w:line="276" w:lineRule="auto"/>
      </w:pPr>
      <w:r>
        <w:rPr>
          <w:b/>
        </w:rPr>
        <w:t>Câu hỏi 2:</w:t>
      </w:r>
      <w:r>
        <w:t xml:space="preserve"> Kết quả: amylase 850 U/L, lipase 720 U/L, ALT 210 U/L, siêu âm thấy sỏi túi mật + CBD 8 mm. BISAP của bà Mai là bao nhiêu? BISAP này có ý nghĩa gì cho quyết định điều trị?</w:t>
      </w:r>
    </w:p>
    <w:p>
      <w:pPr>
        <w:spacing w:before="0" w:after="80" w:line="276" w:lineRule="auto"/>
      </w:pPr>
      <w:r>
        <w:rPr>
          <w:i/>
        </w:rPr>
        <w:t>(Gợi ý trả lời:)</w:t>
      </w:r>
    </w:p>
    <w:p>
      <w:pPr>
        <w:spacing w:before="0" w:after="80" w:line="276" w:lineRule="auto"/>
      </w:pPr>
      <w:r>
        <w:rPr>
          <w:b/>
        </w:rPr>
        <w:t>Đáp án 1:</w:t>
      </w:r>
      <w:r>
        <w:t xml:space="preserve"> Dùng tiêu chuẩn </w:t>
      </w:r>
      <w:r>
        <w:rPr>
          <w:b/>
        </w:rPr>
        <w:t>Revised Atlanta 2012</w:t>
      </w:r>
      <w:r>
        <w:t xml:space="preserve"> (PMID 23100216): cần ≥2/3 tiêu chuẩn.</w:t>
      </w:r>
    </w:p>
    <w:p>
      <w:pPr>
        <w:pStyle w:val="ListBullet"/>
        <w:spacing w:before="20" w:after="40"/>
      </w:pPr>
      <w:r>
        <w:t xml:space="preserve">(1) Đau bụng điển hình: đau thượng vị dữ dội, liên tục, lan ra sau lưng → </w:t>
      </w:r>
      <w:r>
        <w:rPr>
          <w:b/>
        </w:rPr>
        <w:t>CÓ</w:t>
      </w:r>
      <w:r>
        <w:t>.</w:t>
      </w:r>
    </w:p>
    <w:p>
      <w:pPr>
        <w:pStyle w:val="ListBullet"/>
        <w:spacing w:before="20" w:after="40"/>
      </w:pPr>
      <w:r>
        <w:t xml:space="preserve">(2) Amylase và/hoặc lipase ≥3 lần ULN: amylase 850 (ULN ~100), lipase 720 (ULN ~60) → cả hai đều &gt;3 lần → </w:t>
      </w:r>
      <w:r>
        <w:rPr>
          <w:b/>
        </w:rPr>
        <w:t>CÓ</w:t>
      </w:r>
      <w:r>
        <w:t>.</w:t>
      </w:r>
    </w:p>
    <w:p>
      <w:pPr>
        <w:pStyle w:val="ListBullet"/>
        <w:spacing w:before="20" w:after="40"/>
      </w:pPr>
      <w:r>
        <w:t xml:space="preserve">→ </w:t>
      </w:r>
      <w:r>
        <w:rPr>
          <w:b/>
        </w:rPr>
        <w:t>Đủ 2/3 tiêu chuẩn → chẩn đoán xác định AP</w:t>
      </w:r>
      <w:r>
        <w:t>, không cần CT.</w:t>
      </w:r>
    </w:p>
    <w:p>
      <w:pPr>
        <w:spacing w:before="0" w:after="80" w:line="276" w:lineRule="auto"/>
      </w:pPr>
      <w:r>
        <w:rPr>
          <w:b/>
        </w:rPr>
        <w:t>Đáp án 2:</w:t>
      </w:r>
      <w:r>
        <w:t xml:space="preserve"> Tính BISAP (Bedside Index for Severity in Acute Pancreatitis):</w:t>
      </w:r>
    </w:p>
    <w:p>
      <w:pPr>
        <w:pStyle w:val="ListBullet"/>
        <w:spacing w:before="20" w:after="40"/>
      </w:pPr>
      <w:r>
        <w:rPr>
          <w:b/>
        </w:rPr>
        <w:t>B</w:t>
      </w:r>
      <w:r>
        <w:t>UN: chưa có (giả sử &lt;25 mg/dL) → 0</w:t>
      </w:r>
    </w:p>
    <w:p>
      <w:pPr>
        <w:pStyle w:val="ListBullet"/>
        <w:spacing w:before="20" w:after="40"/>
      </w:pPr>
      <w:r>
        <w:rPr>
          <w:b/>
        </w:rPr>
        <w:t>I</w:t>
      </w:r>
      <w:r>
        <w:t>mpaired mental status: GCS 15 → 0</w:t>
      </w:r>
    </w:p>
    <w:p>
      <w:pPr>
        <w:pStyle w:val="ListBullet"/>
        <w:spacing w:before="20" w:after="40"/>
      </w:pPr>
      <w:r>
        <w:rPr>
          <w:b/>
        </w:rPr>
        <w:t>S</w:t>
      </w:r>
      <w:r>
        <w:t>IRS: mạch 108 (&gt;90), nhiệt độ 37.6 (không đạt), nhịp thở và WBC chưa có → cần ≥2/4 tiêu chuẩn SIRS; với dữ kiện hiện tại mới 1 → 0</w:t>
      </w:r>
    </w:p>
    <w:p>
      <w:pPr>
        <w:pStyle w:val="ListBullet"/>
        <w:spacing w:before="20" w:after="40"/>
      </w:pPr>
      <w:r>
        <w:rPr>
          <w:b/>
        </w:rPr>
        <w:t>A</w:t>
      </w:r>
      <w:r>
        <w:t>ge: 48 (&lt;60) → 0</w:t>
      </w:r>
    </w:p>
    <w:p>
      <w:pPr>
        <w:pStyle w:val="ListBullet"/>
        <w:spacing w:before="20" w:after="40"/>
      </w:pPr>
      <w:r>
        <w:rPr>
          <w:b/>
        </w:rPr>
        <w:t>P</w:t>
      </w:r>
      <w:r>
        <w:t>leural effusion: chưa có X-quang, lâm sàng không khó thở → 0</w:t>
      </w:r>
    </w:p>
    <w:p>
      <w:pPr>
        <w:spacing w:before="0" w:after="80" w:line="276" w:lineRule="auto"/>
      </w:pPr>
      <w:r>
        <w:rPr>
          <w:b/>
        </w:rPr>
        <w:t>BISAP = 0 → tử vong &lt;1%, tiên lượng nhẹ.</w:t>
      </w:r>
      <w:r>
        <w:t xml:space="preserve"> Có thể điều trị nội trú thường, không cần ICU.</w:t>
      </w:r>
    </w:p>
    <w:p>
      <w:pPr>
        <w:spacing w:before="0" w:after="80" w:line="276" w:lineRule="auto"/>
      </w:pPr>
      <w:r>
        <w:rPr>
          <w:b/>
        </w:rPr>
        <w:t>ALT 210 U/L</w:t>
      </w:r>
      <w:r>
        <w:t xml:space="preserve"> (&gt;150) ở bệnh nhân AP → PPV ~95% cho nguyên nhân sỏi mật. Siêu âm thấy CBD 8 mm (&gt;6 mm) + sỏi túi mật → xác nhận.</w:t>
      </w:r>
    </w:p>
    <w:p>
      <w:pPr>
        <w:spacing w:before="0" w:after="80" w:line="276" w:lineRule="auto"/>
      </w:pPr>
      <w:r>
        <w:rPr>
          <w:b/>
        </w:rPr>
        <w:t>Xử trí:</w:t>
      </w:r>
      <w:r>
        <w:t xml:space="preserve"> bù dịch (Lactated Ringer, bolus 20 mL/kg sau đó duy trì), kiểm soát đau (opioid đường tĩnh mạch), dinh dưỡng đường miệng sớm nếu dung nạp, theo dõi sát. Hội chẩn Ngoại khoa để lên kế hoạch cắt túi mật trong cùng đợt nhập viện. Nếu có dấu hiệu tắc mật/viêm đường mật → ERCP.</w:t>
      </w:r>
    </w:p>
    <w:p>
      <w:pPr>
        <w:spacing w:before="0" w:after="80" w:line="276" w:lineRule="auto"/>
      </w:pPr>
      <w:r>
        <w:rPr>
          <w:b/>
        </w:rPr>
        <w:t>Vì sao các lựa chọn sai không phù hợp:</w:t>
      </w:r>
    </w:p>
    <w:p>
      <w:pPr>
        <w:pStyle w:val="ListBullet"/>
        <w:spacing w:before="20" w:after="40"/>
      </w:pPr>
      <w:r>
        <w:t>"Chưa có CT nên chưa chẩn đoán được": CT không bắt buộc nếu đã có 2/3 tiêu chuẩn lâm sàng + xét nghiệm. CT có cản quang chỉ cần khi: chẩn đoán không chắc chắn, không cải thiện sau 48-72h, hoặc nghi biến chứng.</w:t>
      </w:r>
    </w:p>
    <w:p>
      <w:pPr>
        <w:pStyle w:val="ListBullet"/>
        <w:spacing w:before="20" w:after="40"/>
      </w:pPr>
      <w:r>
        <w:t>"Kháng sinh dự phòng vì sốt nhẹ + amylase cao": pha sớm là viêm vô trùng. Kháng sinh dự phòng trong AP vô trùng không làm giảm tử vong (Cochrane SR PMID 20464721).</w:t>
      </w:r>
    </w:p>
    <w:p>
      <w:pPr>
        <w:pStyle w:val="ListBullet"/>
        <w:spacing w:before="20" w:after="40"/>
      </w:pPr>
      <w:r>
        <w:t>"Nhịn ăn hoàn toàn, nuôi dưỡng tĩnh mạch": dinh dưỡng đường miệng sớm (trong 24h) nếu dung nạp giúp giảm biến chứng nhiễm trùng và rút ngắn thời gian nằm viện.</w:t>
      </w:r>
    </w:p>
    <w:p>
      <w:pPr>
        <w:spacing w:before="0" w:after="80" w:line="276" w:lineRule="auto"/>
      </w:pPr>
      <w:r>
        <w:t>---</w:t>
      </w:r>
    </w:p>
    <w:p>
      <w:pPr>
        <w:pStyle w:val="Heading2"/>
        <w:spacing w:before="240" w:after="80"/>
      </w:pPr>
      <w:r>
        <w:t>Case 2: Ông Hải — Viêm tụy cấp nặng, quyết định chuyển tuyến</w:t>
      </w:r>
    </w:p>
    <w:p>
      <w:pPr>
        <w:spacing w:before="0" w:after="80" w:line="276" w:lineRule="auto"/>
      </w:pPr>
      <w:r>
        <w:rPr>
          <w:b/>
        </w:rPr>
        <w:t>Bệnh nhân:</w:t>
      </w:r>
      <w:r>
        <w:t xml:space="preserve"> Nam 65 tuổi, tiền sử uống rượu &gt;20 năm (khoảng 200g ethanol/ngày). Vào cấp cứu vì đau thượng vị dữ dội 6 giờ, nôn nhiều, khó thở nhẹ. Mạch 120 lần/phút, HA 88/55 mmHg, nhiệt độ 38.4°C, nhịp thở 28 lần/phút, SpO₂ 91% với khí phòng. Lơ mơ, GCS 14. Bụng chướng, ấn đau khắp bụng. X-quang ngực: tràn dịch màng phổi trái lượng ít. Xét nghiệm: WBC 18.000/mm³, BUN 30 mg/dL (10.7 mmol/L), amylase 1.200 U/L, lipase 980 U/L, creatinine 180 µmol/L, Ca²⁺ 1.8 mmol/L, glucose 14.2 mmol/L, LDH 520 U/L, AST 280 U/L. Bệnh viện tuyến tỉnh, không có ICU.</w:t>
      </w:r>
    </w:p>
    <w:p>
      <w:pPr>
        <w:spacing w:before="0" w:after="80" w:line="276" w:lineRule="auto"/>
      </w:pPr>
      <w:r>
        <w:rPr>
          <w:b/>
        </w:rPr>
        <w:t>Câu hỏi 1:</w:t>
      </w:r>
      <w:r>
        <w:t xml:space="preserve"> Tính BISAP và Ranson lúc nhập viện. BISAP này có ý nghĩa gì?</w:t>
      </w:r>
    </w:p>
    <w:p>
      <w:pPr>
        <w:spacing w:before="0" w:after="80" w:line="276" w:lineRule="auto"/>
      </w:pPr>
      <w:r>
        <w:rPr>
          <w:b/>
        </w:rPr>
        <w:t>Câu hỏi 2:</w:t>
      </w:r>
      <w:r>
        <w:t xml:space="preserve"> Với nguồn lực hiện tại (không ICU, không CT về đêm), bạn làm gì trong giờ đầu và quyết định chuyển tuyến thế nào?</w:t>
      </w:r>
    </w:p>
    <w:p>
      <w:pPr>
        <w:spacing w:before="0" w:after="80" w:line="276" w:lineRule="auto"/>
      </w:pPr>
      <w:r>
        <w:rPr>
          <w:i/>
        </w:rPr>
        <w:t>(Gợi ý trả lời:)</w:t>
      </w:r>
    </w:p>
    <w:p>
      <w:pPr>
        <w:spacing w:before="0" w:after="80" w:line="276" w:lineRule="auto"/>
      </w:pPr>
      <w:r>
        <w:rPr>
          <w:b/>
        </w:rPr>
        <w:t>Đáp án 1 — BISAP:</w:t>
      </w:r>
    </w:p>
    <w:p>
      <w:pPr>
        <w:pStyle w:val="ListBullet"/>
        <w:spacing w:before="20" w:after="40"/>
      </w:pPr>
      <w:r>
        <w:rPr>
          <w:b/>
        </w:rPr>
        <w:t>B</w:t>
      </w:r>
      <w:r>
        <w:t xml:space="preserve">UN: 30 mg/dL (&gt;25) → </w:t>
      </w:r>
      <w:r>
        <w:rPr>
          <w:b/>
        </w:rPr>
        <w:t>1</w:t>
      </w:r>
    </w:p>
    <w:p>
      <w:pPr>
        <w:pStyle w:val="ListBullet"/>
        <w:spacing w:before="20" w:after="40"/>
      </w:pPr>
      <w:r>
        <w:rPr>
          <w:b/>
        </w:rPr>
        <w:t>I</w:t>
      </w:r>
      <w:r>
        <w:t xml:space="preserve">mpaired mental status: GCS 14 (&lt;15) → </w:t>
      </w:r>
      <w:r>
        <w:rPr>
          <w:b/>
        </w:rPr>
        <w:t>1</w:t>
      </w:r>
    </w:p>
    <w:p>
      <w:pPr>
        <w:pStyle w:val="ListBullet"/>
        <w:spacing w:before="20" w:after="40"/>
      </w:pPr>
      <w:r>
        <w:rPr>
          <w:b/>
        </w:rPr>
        <w:t>S</w:t>
      </w:r>
      <w:r>
        <w:t xml:space="preserve">IRS: nhiệt độ 38.4°C (&gt;38), mạch 120 (&gt;90), nhịp thở 28 (&gt;20), WBC 18.000 (&gt;12.000) → </w:t>
      </w:r>
      <w:r>
        <w:rPr>
          <w:b/>
        </w:rPr>
        <w:t>4/4 tiêu chuẩn → 1</w:t>
      </w:r>
    </w:p>
    <w:p>
      <w:pPr>
        <w:pStyle w:val="ListBullet"/>
        <w:spacing w:before="20" w:after="40"/>
      </w:pPr>
      <w:r>
        <w:rPr>
          <w:b/>
        </w:rPr>
        <w:t>A</w:t>
      </w:r>
      <w:r>
        <w:t xml:space="preserve">ge: 65 (&gt;60) → </w:t>
      </w:r>
      <w:r>
        <w:rPr>
          <w:b/>
        </w:rPr>
        <w:t>1</w:t>
      </w:r>
    </w:p>
    <w:p>
      <w:pPr>
        <w:pStyle w:val="ListBullet"/>
        <w:spacing w:before="20" w:after="40"/>
      </w:pPr>
      <w:r>
        <w:rPr>
          <w:b/>
        </w:rPr>
        <w:t>P</w:t>
      </w:r>
      <w:r>
        <w:t xml:space="preserve">leural effusion: tràn dịch màng phổi trái → </w:t>
      </w:r>
      <w:r>
        <w:rPr>
          <w:b/>
        </w:rPr>
        <w:t>1</w:t>
      </w:r>
    </w:p>
    <w:p>
      <w:pPr>
        <w:spacing w:before="0" w:after="80" w:line="276" w:lineRule="auto"/>
      </w:pPr>
      <w:r>
        <w:rPr>
          <w:b/>
        </w:rPr>
        <w:t>BISAP = 5/5 → tử vong 5–20%, CẦN ICU ngay.</w:t>
      </w:r>
    </w:p>
    <w:p>
      <w:pPr>
        <w:spacing w:before="0" w:after="80" w:line="276" w:lineRule="auto"/>
      </w:pPr>
      <w:r>
        <w:rPr>
          <w:b/>
        </w:rPr>
        <w:t>Ranson lúc nhập viện (5 tiêu chí):</w:t>
      </w:r>
    </w:p>
    <w:p>
      <w:pPr>
        <w:pStyle w:val="ListBullet"/>
        <w:spacing w:before="20" w:after="40"/>
      </w:pPr>
      <w:r>
        <w:t xml:space="preserve">Tuổi &gt;55: 65 → </w:t>
      </w:r>
      <w:r>
        <w:rPr>
          <w:b/>
        </w:rPr>
        <w:t>1</w:t>
      </w:r>
    </w:p>
    <w:p>
      <w:pPr>
        <w:pStyle w:val="ListBullet"/>
        <w:spacing w:before="20" w:after="40"/>
      </w:pPr>
      <w:r>
        <w:t xml:space="preserve">WBC &gt;16.000: 18.000 → </w:t>
      </w:r>
      <w:r>
        <w:rPr>
          <w:b/>
        </w:rPr>
        <w:t>1</w:t>
      </w:r>
    </w:p>
    <w:p>
      <w:pPr>
        <w:pStyle w:val="ListBullet"/>
        <w:spacing w:before="20" w:after="40"/>
      </w:pPr>
      <w:r>
        <w:t xml:space="preserve">Glucose &gt;200 mg/dL (11.1 mmol/L): 14.2 → </w:t>
      </w:r>
      <w:r>
        <w:rPr>
          <w:b/>
        </w:rPr>
        <w:t>1</w:t>
      </w:r>
    </w:p>
    <w:p>
      <w:pPr>
        <w:pStyle w:val="ListBullet"/>
        <w:spacing w:before="20" w:after="40"/>
      </w:pPr>
      <w:r>
        <w:t xml:space="preserve">LDH &gt;350 U/L: 520 → </w:t>
      </w:r>
      <w:r>
        <w:rPr>
          <w:b/>
        </w:rPr>
        <w:t>1</w:t>
      </w:r>
    </w:p>
    <w:p>
      <w:pPr>
        <w:pStyle w:val="ListBullet"/>
        <w:spacing w:before="20" w:after="40"/>
      </w:pPr>
      <w:r>
        <w:t xml:space="preserve">AST &gt;250 U/L: 280 → </w:t>
      </w:r>
      <w:r>
        <w:rPr>
          <w:b/>
        </w:rPr>
        <w:t>1</w:t>
      </w:r>
    </w:p>
    <w:p>
      <w:pPr>
        <w:spacing w:before="0" w:after="80" w:line="276" w:lineRule="auto"/>
      </w:pPr>
      <w:r>
        <w:rPr>
          <w:b/>
        </w:rPr>
        <w:t>Ranson admission = 5/5.</w:t>
      </w:r>
      <w:r>
        <w:t xml:space="preserve"> Dù chưa có Ranson 48h, riêng Ranson lúc nhập đã 5 điểm → nguy cơ tử vong rất cao.</w:t>
      </w:r>
    </w:p>
    <w:p>
      <w:pPr>
        <w:spacing w:before="0" w:after="80" w:line="276" w:lineRule="auto"/>
      </w:pPr>
      <w:r>
        <w:rPr>
          <w:b/>
        </w:rPr>
        <w:t>Đáp án 2 — Xử trí giờ đầu + chuyển tuyến:</w:t>
      </w:r>
    </w:p>
    <w:p>
      <w:pPr>
        <w:spacing w:before="0" w:after="80" w:line="276" w:lineRule="auto"/>
      </w:pPr>
      <w:r>
        <w:rPr>
          <w:b/>
        </w:rPr>
        <w:t>Trong 30 phút đầu (trước chuyển):</w:t>
      </w:r>
    </w:p>
    <w:p>
      <w:pPr>
        <w:pStyle w:val="ListNumber"/>
        <w:spacing w:before="20" w:after="40"/>
      </w:pPr>
      <w:r>
        <w:rPr>
          <w:b/>
        </w:rPr>
        <w:t>ABCDE:</w:t>
      </w:r>
      <w:r>
        <w:t xml:space="preserve"> thở oxy qua mask để SpO₂ ≥94%. Monitor sinh hiệu liên tục.</w:t>
      </w:r>
    </w:p>
    <w:p>
      <w:pPr>
        <w:pStyle w:val="ListNumber"/>
        <w:spacing w:before="20" w:after="40"/>
      </w:pPr>
      <w:r>
        <w:rPr>
          <w:b/>
        </w:rPr>
        <w:t>Hồi sức dịch:</w:t>
      </w:r>
      <w:r>
        <w:t xml:space="preserve"> 2 đường truyền ngoại vi lớn. </w:t>
      </w:r>
      <w:r>
        <w:rPr>
          <w:b/>
        </w:rPr>
        <w:t>Lactated Ringer bolus 20 mL/kg</w:t>
      </w:r>
      <w:r>
        <w:t xml:space="preserve"> (~1.5-2 L trong giờ đầu), sau đó duy trì 3 mL/kg/h. Đánh giá đáp ứng mỗi 30 phút: xu hướng mạch, HA, lượng nước tiểu, SpO₂, tri giác.</w:t>
      </w:r>
    </w:p>
    <w:p>
      <w:pPr>
        <w:pStyle w:val="ListNumber"/>
        <w:spacing w:before="20" w:after="40"/>
      </w:pPr>
      <w:r>
        <w:rPr>
          <w:b/>
        </w:rPr>
        <w:t>Kiểm soát đau:</w:t>
      </w:r>
      <w:r>
        <w:t xml:space="preserve"> opioid IV (morphine 2-4 mg hoặc pethidine 25-50 mg mỗi 15-30 phút, chỉnh liều theo đau).</w:t>
      </w:r>
    </w:p>
    <w:p>
      <w:pPr>
        <w:pStyle w:val="ListNumber"/>
        <w:spacing w:before="20" w:after="40"/>
      </w:pPr>
      <w:r>
        <w:rPr>
          <w:b/>
        </w:rPr>
        <w:t>Đặt sonde dạ dày nếu nôn nhiều/liệt ruột.</w:t>
      </w:r>
    </w:p>
    <w:p>
      <w:pPr>
        <w:pStyle w:val="ListNumber"/>
        <w:spacing w:before="20" w:after="40"/>
      </w:pPr>
      <w:r>
        <w:rPr>
          <w:b/>
        </w:rPr>
        <w:t>Xét nghiệm bổ sung trước chuyển:</w:t>
      </w:r>
      <w:r>
        <w:t xml:space="preserve"> khí máu động mạch, lactate, đông máu toàn bộ, cấy máu nếu sốt.</w:t>
      </w:r>
    </w:p>
    <w:p>
      <w:pPr>
        <w:spacing w:before="0" w:after="80" w:line="276" w:lineRule="auto"/>
      </w:pPr>
      <w:r>
        <w:rPr>
          <w:b/>
        </w:rPr>
        <w:t>Quyết định chuyển tuyến:</w:t>
      </w:r>
      <w:r>
        <w:t xml:space="preserve"> BISAP 5 + Ranson 5 + suy hô hấp (SpO₂ 91%, nhịp thở 28) + suy thận (creatinine 180) + tụt HA → </w:t>
      </w:r>
      <w:r>
        <w:rPr>
          <w:b/>
        </w:rPr>
        <w:t>chuyển ICU tuyến tỉnh hoặc trung tâm có ICU ngay.</w:t>
      </w:r>
      <w:r>
        <w:t xml:space="preserve"> Gọi điện báo trước, gửi kèm tóm tắt bệnh án + kết quả xét nghiệm. Trong lúc chờ xe: tiếp tục bù dịch, oxy, monitor, không trì hoãn.</w:t>
      </w:r>
    </w:p>
    <w:p>
      <w:pPr>
        <w:spacing w:before="0" w:after="80" w:line="276" w:lineRule="auto"/>
      </w:pPr>
      <w:r>
        <w:rPr>
          <w:b/>
        </w:rPr>
        <w:t>Vì sao các lựa chọn sai không phù hợp:</w:t>
      </w:r>
    </w:p>
    <w:p>
      <w:pPr>
        <w:pStyle w:val="ListBullet"/>
        <w:spacing w:before="20" w:after="40"/>
      </w:pPr>
      <w:r>
        <w:t>"Ở lại theo dõi thêm, đợi CT sáng mai": BISAP 5, suy đa tạng đang tiến triển → trì hoãn = tử vong.</w:t>
      </w:r>
    </w:p>
    <w:p>
      <w:pPr>
        <w:pStyle w:val="ListBullet"/>
        <w:spacing w:before="20" w:after="40"/>
      </w:pPr>
      <w:r>
        <w:t>"Bắt đầu kháng sinh ngay": pha sớm (&lt;1-2 tuần) là SIRS vô trùng, kháng sinh không có vai trò trừ khi có bằng chứng nhiễm trùng hoặc viêm đường mật kèm theo.</w:t>
      </w:r>
    </w:p>
    <w:p>
      <w:pPr>
        <w:pStyle w:val="ListBullet"/>
        <w:spacing w:before="20" w:after="40"/>
      </w:pPr>
      <w:r>
        <w:t>"Bù dịch bằng Normal Saline": Lactated Ringer được ưu tiên hơn NS trong AP — LR không gây toan chuyển hóa tăng clo và giảm nguy cơ SIRS so với NS.</w:t>
      </w:r>
    </w:p>
    <w:p>
      <w:pPr>
        <w:spacing w:before="0" w:after="80" w:line="276" w:lineRule="auto"/>
      </w:pPr>
      <w:r>
        <w:t>---</w:t>
      </w:r>
    </w:p>
    <w:p>
      <w:pPr>
        <w:pStyle w:val="Heading2"/>
        <w:spacing w:before="240" w:after="80"/>
      </w:pPr>
      <w:r>
        <w:t>Case 3: Anh Tuấn — Viêm tụy cấp ngày thứ 12, sốt trở lại</w:t>
      </w:r>
    </w:p>
    <w:p>
      <w:pPr>
        <w:spacing w:before="0" w:after="80" w:line="276" w:lineRule="auto"/>
      </w:pPr>
      <w:r>
        <w:rPr>
          <w:b/>
        </w:rPr>
        <w:t>Bệnh nhân:</w:t>
      </w:r>
      <w:r>
        <w:t xml:space="preserve"> Nam 38 tuổi, viêm tụy cấp do tăng triglyceride (TG lúc vào 1.800 mg/dL), đang nằm viện ngày thứ 12. Đã được bù dịch, nhịn ăn, dinh dưỡng qua sonde. Lâm sàng cải thiện đến ngày thứ 10 thì đột ngột sốt trở lại 39.2°C, mạch 115, HA 100/65. Bụng chướng, đau thượng vị tăng. WBC 22.000/mm³, procalcitonin 4.2 ng/mL, cấy máu đang chờ. CT bụng có cản quang: hoại tử tụy 40%, có bóng khí trong ổ hoại tử.</w:t>
      </w:r>
    </w:p>
    <w:p>
      <w:pPr>
        <w:spacing w:before="0" w:after="80" w:line="276" w:lineRule="auto"/>
      </w:pPr>
      <w:r>
        <w:rPr>
          <w:b/>
        </w:rPr>
        <w:t>Câu hỏi 1:</w:t>
      </w:r>
      <w:r>
        <w:t xml:space="preserve"> Tại sao kháng sinh lúc này có chỉ định, khác với lúc mới nhập viện?</w:t>
      </w:r>
    </w:p>
    <w:p>
      <w:pPr>
        <w:spacing w:before="0" w:after="80" w:line="276" w:lineRule="auto"/>
      </w:pPr>
      <w:r>
        <w:rPr>
          <w:b/>
        </w:rPr>
        <w:t>Câu hỏi 2:</w:t>
      </w:r>
      <w:r>
        <w:t xml:space="preserve"> Bạn chọn kháng sinh gì và có cần can thiệp dẫn lưu/phẫu thuật không?</w:t>
      </w:r>
    </w:p>
    <w:p>
      <w:pPr>
        <w:spacing w:before="0" w:after="80" w:line="276" w:lineRule="auto"/>
      </w:pPr>
      <w:r>
        <w:rPr>
          <w:i/>
        </w:rPr>
        <w:t>(Gợi ý trả lời:)</w:t>
      </w:r>
    </w:p>
    <w:p>
      <w:pPr>
        <w:spacing w:before="0" w:after="80" w:line="276" w:lineRule="auto"/>
      </w:pPr>
      <w:r>
        <w:rPr>
          <w:b/>
        </w:rPr>
        <w:t>Đáp án 1:</w:t>
      </w:r>
      <w:r>
        <w:t xml:space="preserve"> Phân biệt </w:t>
      </w:r>
      <w:r>
        <w:rPr>
          <w:b/>
        </w:rPr>
        <w:t>hai pha tử vong</w:t>
      </w:r>
      <w:r>
        <w:t xml:space="preserve"> trong AP:</w:t>
      </w:r>
    </w:p>
    <w:p>
      <w:pPr>
        <w:pStyle w:val="ListBullet"/>
        <w:spacing w:before="20" w:after="40"/>
      </w:pPr>
      <w:r>
        <w:rPr>
          <w:b/>
        </w:rPr>
        <w:t>Pha sớm (&lt;1-2 tuần):</w:t>
      </w:r>
      <w:r>
        <w:t xml:space="preserve"> cơ chế tử vong là SIRS → MODS, tổn thương là </w:t>
      </w:r>
      <w:r>
        <w:rPr>
          <w:b/>
        </w:rPr>
        <w:t>viêm vô trùng</w:t>
      </w:r>
      <w:r>
        <w:t>. Kháng sinh không có vai trò. Đây là lý do lúc nhập viện không dùng kháng sinh.</w:t>
      </w:r>
    </w:p>
    <w:p>
      <w:pPr>
        <w:pStyle w:val="ListBullet"/>
        <w:spacing w:before="20" w:after="40"/>
      </w:pPr>
      <w:r>
        <w:rPr>
          <w:b/>
        </w:rPr>
        <w:t>Pha muộn (&gt;2 tuần):</w:t>
      </w:r>
      <w:r>
        <w:t xml:space="preserve"> cơ chế tử vong là </w:t>
      </w:r>
      <w:r>
        <w:rPr>
          <w:b/>
        </w:rPr>
        <w:t>nhiễm trùng hoại tử tụy → sepsis</w:t>
      </w:r>
      <w:r>
        <w:t>. Đây là pha bội nhiễm vi khuẩn (chủ yếu từ ruột).</w:t>
      </w:r>
    </w:p>
    <w:p>
      <w:pPr>
        <w:spacing w:before="0" w:after="80" w:line="276" w:lineRule="auto"/>
      </w:pPr>
      <w:r>
        <w:t>Anh Tuấn đang ở ngày 12, có đủ bằng chứng nhiễm trùng hoại tử:</w:t>
      </w:r>
    </w:p>
    <w:p>
      <w:pPr>
        <w:pStyle w:val="ListBullet"/>
        <w:spacing w:before="20" w:after="40"/>
      </w:pPr>
      <w:r>
        <w:t>Sốt cao đột ngột + mạch nhanh + WBC tăng sau giai đoạn cải thiện</w:t>
      </w:r>
    </w:p>
    <w:p>
      <w:pPr>
        <w:pStyle w:val="ListBullet"/>
        <w:spacing w:before="20" w:after="40"/>
      </w:pPr>
      <w:r>
        <w:t>Procalcitonin 4.2 ng/mL (tăng rõ)</w:t>
      </w:r>
    </w:p>
    <w:p>
      <w:pPr>
        <w:pStyle w:val="ListBullet"/>
        <w:spacing w:before="20" w:after="40"/>
      </w:pPr>
      <w:r>
        <w:rPr>
          <w:b/>
        </w:rPr>
        <w:t>Khí trong ổ hoại tử trên CT</w:t>
      </w:r>
      <w:r>
        <w:t xml:space="preserve"> — dấu hiệu đặc hiệu của nhiễm trùng hoại tử tụy</w:t>
      </w:r>
    </w:p>
    <w:p>
      <w:pPr>
        <w:pStyle w:val="ListBullet"/>
        <w:spacing w:before="20" w:after="40"/>
      </w:pPr>
      <w:r>
        <w:t xml:space="preserve">→ </w:t>
      </w:r>
      <w:r>
        <w:rPr>
          <w:b/>
        </w:rPr>
        <w:t>Có chỉ định kháng sinh</w:t>
      </w:r>
      <w:r>
        <w:t>, khác hoàn toàn giai đoạn sớm.</w:t>
      </w:r>
    </w:p>
    <w:p>
      <w:pPr>
        <w:spacing w:before="0" w:after="80" w:line="276" w:lineRule="auto"/>
      </w:pPr>
      <w:r>
        <w:rPr>
          <w:b/>
        </w:rPr>
        <w:t>Đáp án 2:</w:t>
      </w:r>
    </w:p>
    <w:p>
      <w:pPr>
        <w:spacing w:before="0" w:after="80" w:line="276" w:lineRule="auto"/>
      </w:pPr>
      <w:r>
        <w:rPr>
          <w:b/>
        </w:rPr>
        <w:t>Kháng sinh:</w:t>
      </w:r>
      <w:r>
        <w:t xml:space="preserve"> Carbapenem (meropenem 1g IV mỗi 8h hoặc imipenem 500mg IV mỗi 6h) là lựa chọn đầu tay vì thấm tốt vào mô tụy hoại tử và phủ được vi khuẩn đường ruột (E. coli, Klebsiella, Enterococcus). Điều chỉnh theo chức năng thận và kết quả cấy máu/dịch hoại tử sau.</w:t>
      </w:r>
    </w:p>
    <w:p>
      <w:pPr>
        <w:spacing w:before="0" w:after="80" w:line="276" w:lineRule="auto"/>
      </w:pPr>
      <w:r>
        <w:rPr>
          <w:b/>
        </w:rPr>
        <w:t>Can thiệp:</w:t>
      </w:r>
      <w:r>
        <w:t xml:space="preserve"> Áp dụng </w:t>
      </w:r>
      <w:r>
        <w:rPr>
          <w:b/>
        </w:rPr>
        <w:t>step-up approach</w:t>
      </w:r>
      <w:r>
        <w:t>:</w:t>
      </w:r>
    </w:p>
    <w:p>
      <w:pPr>
        <w:pStyle w:val="ListNumber"/>
        <w:spacing w:before="20" w:after="40"/>
      </w:pPr>
      <w:r>
        <w:t>Kháng sinh IV + hồi sức</w:t>
      </w:r>
    </w:p>
    <w:p>
      <w:pPr>
        <w:pStyle w:val="ListNumber"/>
        <w:spacing w:before="20" w:after="40"/>
      </w:pPr>
      <w:r>
        <w:t xml:space="preserve">Nếu không đáp ứng sau 24-48h hoặc suy tạng tiến triển → </w:t>
      </w:r>
      <w:r>
        <w:rPr>
          <w:b/>
        </w:rPr>
        <w:t>dẫn lưu qua da hoặc nội soi</w:t>
      </w:r>
      <w:r>
        <w:t xml:space="preserve"> (EUS-guided drainage)</w:t>
      </w:r>
    </w:p>
    <w:p>
      <w:pPr>
        <w:pStyle w:val="ListNumber"/>
        <w:spacing w:before="20" w:after="40"/>
      </w:pPr>
      <w:r>
        <w:t xml:space="preserve">Nếu thất bại → </w:t>
      </w:r>
      <w:r>
        <w:rPr>
          <w:b/>
        </w:rPr>
        <w:t>phẫu thuật cắt lọc hoại tử</w:t>
      </w:r>
      <w:r>
        <w:t xml:space="preserve"> (necrosectomy) — trì hoãn càng lâu càng tốt (lý tưởng &gt;4 tuần để hoại tử "chín" và tách rời khỏi mô lành)</w:t>
      </w:r>
    </w:p>
    <w:p>
      <w:pPr>
        <w:spacing w:before="0" w:after="80" w:line="276" w:lineRule="auto"/>
      </w:pPr>
      <w:r>
        <w:rPr>
          <w:b/>
        </w:rPr>
        <w:t>Vì sao các lựa chọn sai không phù hợp:</w:t>
      </w:r>
    </w:p>
    <w:p>
      <w:pPr>
        <w:pStyle w:val="ListBullet"/>
        <w:spacing w:before="20" w:after="40"/>
      </w:pPr>
      <w:r>
        <w:t>"Tiếp tục theo dõi, sốt có thể do SIRS": ngày 12, khí trong hoại tử trên CT → không còn là SIRS vô trùng nữa.</w:t>
      </w:r>
    </w:p>
    <w:p>
      <w:pPr>
        <w:pStyle w:val="ListBullet"/>
        <w:spacing w:before="20" w:after="40"/>
      </w:pPr>
      <w:r>
        <w:t>"Phẫu thuật cắt lọc hoại tử ngay": sai — step-up approach bắt đầu bằng kháng sinh + dẫn lưu, phẫu thuật là bước cuối và nên trì hoãn.</w:t>
      </w:r>
    </w:p>
    <w:p>
      <w:pPr>
        <w:pStyle w:val="ListBullet"/>
        <w:spacing w:before="20" w:after="40"/>
      </w:pPr>
      <w:r>
        <w:t>"Thêm kháng sinh dự phòng nấm": không tự động; chỉ thêm kháng nấm nếu nuôi cấy ra nấm hoặc không đáp ứng sau 1-2 tuần kháng sinh phổ rộng.</w:t>
      </w:r>
    </w:p>
    <w:p>
      <w:pPr>
        <w:spacing w:before="0" w:after="80" w:line="276" w:lineRule="auto"/>
      </w:pPr>
      <w:r>
        <w:t>---</w:t>
      </w:r>
    </w:p>
    <w:p>
      <w:pPr>
        <w:pStyle w:val="Heading1"/>
        <w:spacing w:before="240" w:after="80"/>
      </w:pPr>
      <w:r>
        <w:t>PHẦN 2: VIÊM DẠ DÀY CẤP</w:t>
      </w:r>
    </w:p>
    <w:p>
      <w:pPr>
        <w:spacing w:before="0" w:after="80" w:line="276" w:lineRule="auto"/>
      </w:pPr>
      <w:r>
        <w:t>---</w:t>
      </w:r>
    </w:p>
    <w:p>
      <w:pPr>
        <w:pStyle w:val="Heading2"/>
        <w:spacing w:before="240" w:after="80"/>
      </w:pPr>
      <w:r>
        <w:t>Case 4: Cô Thủy — Đau thượng vị cấp, nghi viêm dạ dày do NSAID</w:t>
      </w:r>
    </w:p>
    <w:p>
      <w:pPr>
        <w:spacing w:before="0" w:after="80" w:line="276" w:lineRule="auto"/>
      </w:pPr>
      <w:r>
        <w:rPr>
          <w:b/>
        </w:rPr>
        <w:t>Bệnh nhân:</w:t>
      </w:r>
      <w:r>
        <w:t xml:space="preserve"> Nữ 55 tuổi, đau khớp gối mạn tính, tự mua diclofenac 75mg uống 2 lần/ngày suốt 2 tuần nay. 3 ngày gần đây xuất hiện đau rát thượng vị âm ỉ, tăng sau uống thuốc, kèm ợ chua, buồn nôn. Hôm nay đau tăng, đi ngoài phân đen 1 lần. Da niêm mạc hơi nhợt. Mạch 100 lần/phút, HA 110/70 mmHg. Không nôn ra máu. BMI 23, không hút thuốc, không rượu. Chưa từng nội soi dạ dày.</w:t>
      </w:r>
    </w:p>
    <w:p>
      <w:pPr>
        <w:spacing w:before="0" w:after="80" w:line="276" w:lineRule="auto"/>
      </w:pPr>
      <w:r>
        <w:rPr>
          <w:b/>
        </w:rPr>
        <w:t>Câu hỏi 1:</w:t>
      </w:r>
      <w:r>
        <w:t xml:space="preserve"> Cơ chế diclofenac gây viêm dạ dày và phân đen là gì? Cô Thủy có yếu tố nguy cơ loét nào?</w:t>
      </w:r>
    </w:p>
    <w:p>
      <w:pPr>
        <w:spacing w:before="0" w:after="80" w:line="276" w:lineRule="auto"/>
      </w:pPr>
      <w:r>
        <w:rPr>
          <w:b/>
        </w:rPr>
        <w:t>Câu hỏi 2:</w:t>
      </w:r>
      <w:r>
        <w:t xml:space="preserve"> Xử trí cấp cứu của bạn là gì? Có cần nội soi cấp cứu không?</w:t>
      </w:r>
    </w:p>
    <w:p>
      <w:pPr>
        <w:spacing w:before="0" w:after="80" w:line="276" w:lineRule="auto"/>
      </w:pPr>
      <w:r>
        <w:rPr>
          <w:i/>
        </w:rPr>
        <w:t>(Gợi ý trả lời:)</w:t>
      </w:r>
    </w:p>
    <w:p>
      <w:pPr>
        <w:spacing w:before="0" w:after="80" w:line="276" w:lineRule="auto"/>
      </w:pPr>
      <w:r>
        <w:rPr>
          <w:b/>
        </w:rPr>
        <w:t>Đáp án 1 — Cơ chế và yếu tố nguy cơ:</w:t>
      </w:r>
    </w:p>
    <w:p>
      <w:pPr>
        <w:spacing w:before="0" w:after="80" w:line="276" w:lineRule="auto"/>
      </w:pPr>
      <w:r>
        <w:t xml:space="preserve">NSAID (diclofenac) ức chế </w:t>
      </w:r>
      <w:r>
        <w:rPr>
          <w:b/>
        </w:rPr>
        <w:t>COX-1</w:t>
      </w:r>
      <w:r>
        <w:t xml:space="preserve"> ở niêm mạc dạ dày → giảm tổng hợp </w:t>
      </w:r>
      <w:r>
        <w:rPr>
          <w:b/>
        </w:rPr>
        <w:t>prostaglandin</w:t>
      </w:r>
      <w:r>
        <w:t xml:space="preserve"> (chất bảo vệ niêm mạc: tăng tiết chất nhầy, bicarbonate, duy trì dòng máu niêm mạc) → niêm mạc mất hàng rào bảo vệ → acid và pepsin tấn công trực tiếp → viêm, trợt, loét → chảy máu → phân đen.</w:t>
      </w:r>
    </w:p>
    <w:p>
      <w:pPr>
        <w:spacing w:before="0" w:after="80" w:line="276" w:lineRule="auto"/>
      </w:pPr>
      <w:r>
        <w:rPr>
          <w:b/>
        </w:rPr>
        <w:t>Yếu tố nguy cơ loét của cô Thủy:</w:t>
      </w:r>
    </w:p>
    <w:p>
      <w:pPr>
        <w:pStyle w:val="ListBullet"/>
        <w:spacing w:before="20" w:after="40"/>
      </w:pPr>
      <w:r>
        <w:t xml:space="preserve">Tuổi &gt;55 → </w:t>
      </w:r>
      <w:r>
        <w:rPr>
          <w:b/>
        </w:rPr>
        <w:t>CÓ</w:t>
      </w:r>
      <w:r>
        <w:t xml:space="preserve"> (≥55)</w:t>
      </w:r>
    </w:p>
    <w:p>
      <w:pPr>
        <w:pStyle w:val="ListBullet"/>
        <w:spacing w:before="20" w:after="40"/>
      </w:pPr>
      <w:r>
        <w:t xml:space="preserve">NSAID liều cao (diclofenac 150mg/ngày, gấp đôi liều thông thường) → </w:t>
      </w:r>
      <w:r>
        <w:rPr>
          <w:b/>
        </w:rPr>
        <w:t>CÓ</w:t>
      </w:r>
    </w:p>
    <w:p>
      <w:pPr>
        <w:pStyle w:val="ListBullet"/>
        <w:spacing w:before="20" w:after="40"/>
      </w:pPr>
      <w:r>
        <w:t xml:space="preserve">Thời gian dùng kéo dài (2 tuần liên tục) → </w:t>
      </w:r>
      <w:r>
        <w:rPr>
          <w:b/>
        </w:rPr>
        <w:t>CÓ</w:t>
      </w:r>
    </w:p>
    <w:p>
      <w:pPr>
        <w:pStyle w:val="ListBullet"/>
        <w:spacing w:before="20" w:after="40"/>
      </w:pPr>
      <w:r>
        <w:t>Không dùng kèm aspirin, kháng đông, steroid → không có</w:t>
      </w:r>
    </w:p>
    <w:p>
      <w:pPr>
        <w:spacing w:before="0" w:after="80" w:line="276" w:lineRule="auto"/>
      </w:pPr>
      <w:r>
        <w:t xml:space="preserve">→ Cô Thủy có ≥2 yếu tố nguy cơ → </w:t>
      </w:r>
      <w:r>
        <w:rPr>
          <w:b/>
        </w:rPr>
        <w:t>nguy cơ loét cao</w:t>
      </w:r>
      <w:r>
        <w:t xml:space="preserve"> (PMID 33191311).</w:t>
      </w:r>
    </w:p>
    <w:p>
      <w:pPr>
        <w:spacing w:before="0" w:after="80" w:line="276" w:lineRule="auto"/>
      </w:pPr>
      <w:r>
        <w:rPr>
          <w:b/>
        </w:rPr>
        <w:t>Đáp án 2 — Xử trí:</w:t>
      </w:r>
    </w:p>
    <w:p>
      <w:pPr>
        <w:spacing w:before="0" w:after="80" w:line="276" w:lineRule="auto"/>
      </w:pPr>
      <w:r>
        <w:rPr>
          <w:b/>
        </w:rPr>
        <w:t>Đây là XHTH do loét NSAID — cần đánh giá mức độ và hồi sức:</w:t>
      </w:r>
    </w:p>
    <w:p>
      <w:pPr>
        <w:pStyle w:val="ListNumber"/>
        <w:spacing w:before="20" w:after="40"/>
      </w:pPr>
      <w:r>
        <w:rPr>
          <w:b/>
        </w:rPr>
        <w:t>Đánh giá ABCDE:</w:t>
      </w:r>
      <w:r>
        <w:t xml:space="preserve"> mạch 100, HA 110/70 → huyết động còn ổn nhưng mạch nhanh → mất máu nhẹ–vừa. Lập 1 đường truyền IV.</w:t>
      </w:r>
    </w:p>
    <w:p>
      <w:pPr>
        <w:pStyle w:val="ListNumber"/>
        <w:spacing w:before="20" w:after="40"/>
      </w:pPr>
      <w:r>
        <w:rPr>
          <w:b/>
        </w:rPr>
        <w:t>Ngừng diclofenac ngay.</w:t>
      </w:r>
      <w:r>
        <w:t xml:space="preserve"> Thay bằng paracetamol cho đau khớp.</w:t>
      </w:r>
    </w:p>
    <w:p>
      <w:pPr>
        <w:pStyle w:val="ListNumber"/>
        <w:spacing w:before="20" w:after="40"/>
      </w:pPr>
      <w:r>
        <w:rPr>
          <w:b/>
        </w:rPr>
        <w:t>PPI tĩnh mạch:</w:t>
      </w:r>
      <w:r>
        <w:t xml:space="preserve"> pantoprazole 80mg bolus IV → sau đó 8mg/h truyền liên tục (hoặc omeprazole/esomeprazole IV nếu có).</w:t>
      </w:r>
    </w:p>
    <w:p>
      <w:pPr>
        <w:pStyle w:val="ListNumber"/>
        <w:spacing w:before="20" w:after="40"/>
      </w:pPr>
      <w:r>
        <w:rPr>
          <w:b/>
        </w:rPr>
        <w:t>Xét nghiệm:</w:t>
      </w:r>
      <w:r>
        <w:t xml:space="preserve"> công thức máu (Hct, Hb), đông máu, nhóm máu, BUN/Cr, chức năng gan.</w:t>
      </w:r>
    </w:p>
    <w:p>
      <w:pPr>
        <w:pStyle w:val="ListNumber"/>
        <w:spacing w:before="20" w:after="40"/>
      </w:pPr>
      <w:r>
        <w:rPr>
          <w:b/>
        </w:rPr>
        <w:t>Nội soi dạ dày:</w:t>
      </w:r>
      <w:r>
        <w:t xml:space="preserve"> không cần cấp cứu tức thì (trong vòng &lt;6h) nếu huyết động ổn. Cần nội soi </w:t>
      </w:r>
      <w:r>
        <w:rPr>
          <w:b/>
        </w:rPr>
        <w:t>sớm trong 24h</w:t>
      </w:r>
      <w:r>
        <w:t xml:space="preserve"> để chẩn đoán xác định, phân tầng nguy cơ (Forrest classification), và can thiệp cầm máu nếu cần. Nếu huyết động không ổn định → nội soi cấp cứu ngay sau hồi sức.</w:t>
      </w:r>
    </w:p>
    <w:p>
      <w:pPr>
        <w:pStyle w:val="ListNumber"/>
        <w:spacing w:before="20" w:after="40"/>
      </w:pPr>
      <w:r>
        <w:rPr>
          <w:b/>
        </w:rPr>
        <w:t>Sau nội soi:</w:t>
      </w:r>
      <w:r>
        <w:t xml:space="preserve"> nếu loét sạch (Forrest III) → PPI uống. Nếu có dấu hiệu chảy máu → PPI IV truyền liên tục 72h.</w:t>
      </w:r>
    </w:p>
    <w:p>
      <w:pPr>
        <w:spacing w:before="0" w:after="80" w:line="276" w:lineRule="auto"/>
      </w:pPr>
      <w:r>
        <w:rPr>
          <w:b/>
        </w:rPr>
        <w:t>Sau xuất viện:</w:t>
      </w:r>
      <w:r>
        <w:t xml:space="preserve"> nếu vẫn cần NSAID dài hạn → PPI dự phòng (omeprazole 20mg/ngày hoặc pantoprazole 40mg/ngày). PPI giảm loét do NSAID 54-76% (PMID 33191311).</w:t>
      </w:r>
    </w:p>
    <w:p>
      <w:pPr>
        <w:spacing w:before="0" w:after="80" w:line="276" w:lineRule="auto"/>
      </w:pPr>
      <w:r>
        <w:rPr>
          <w:b/>
        </w:rPr>
        <w:t>Vì sao các lựa chọn sai không phù hợp:</w:t>
      </w:r>
    </w:p>
    <w:p>
      <w:pPr>
        <w:pStyle w:val="ListBullet"/>
        <w:spacing w:before="20" w:after="40"/>
      </w:pPr>
      <w:r>
        <w:t>"Kê thêm PPI uống, tiếp tục diclofenac": phải ngừng NSAID ngay khi có XHTH.</w:t>
      </w:r>
    </w:p>
    <w:p>
      <w:pPr>
        <w:pStyle w:val="ListBullet"/>
        <w:spacing w:before="20" w:after="40"/>
      </w:pPr>
      <w:r>
        <w:t>"Nội soi cấp cứu ngay lập tức": huyết động ổn → nội soi sớm trong 24h, không cần cấp cứu tức thì.</w:t>
      </w:r>
    </w:p>
    <w:p>
      <w:pPr>
        <w:pStyle w:val="ListBullet"/>
        <w:spacing w:before="20" w:after="40"/>
      </w:pPr>
      <w:r>
        <w:t>"Truyền máu ngay": chưa có chỉ định nếu Hb &gt;7 g/dL và huyết động ổn. Đợi kết quả xét nghiệm.</w:t>
      </w:r>
    </w:p>
    <w:p>
      <w:pPr>
        <w:spacing w:before="0" w:after="80" w:line="276" w:lineRule="auto"/>
      </w:pPr>
      <w:r>
        <w:t>---</w:t>
      </w:r>
    </w:p>
    <w:p>
      <w:pPr>
        <w:pStyle w:val="Heading2"/>
        <w:spacing w:before="240" w:after="80"/>
      </w:pPr>
      <w:r>
        <w:t>Case 5: Anh Khánh — Đau thượng vị dữ dội đột ngột sau rượu</w:t>
      </w:r>
    </w:p>
    <w:p>
      <w:pPr>
        <w:spacing w:before="0" w:after="80" w:line="276" w:lineRule="auto"/>
      </w:pPr>
      <w:r>
        <w:rPr>
          <w:b/>
        </w:rPr>
        <w:t>Bệnh nhân:</w:t>
      </w:r>
      <w:r>
        <w:t xml:space="preserve"> Nam 30 tuổi, uống rượu say đêm qua (khoảng 500mL rượu trắng). Sáng nay thức dậy đau rát thượng vị dữ dội, nôn ói 5 lần, lần cuối nôn ra ít máu đỏ tươi lẫn dịch. Mạch 110 lần/phút, HA 100/65 mmHg. Da niêm mạc nhợt, vã mồ hôi. Bụng mềm, ấn đau thượng vị rõ, không phản ứng. Tiền sử: không đau dạ dày trước đây, không dùng NSAID/aspirin, thỉnh thoảng uống rượu xã giao, lần này là lần đầu uống nhiều như vậy.</w:t>
      </w:r>
    </w:p>
    <w:p>
      <w:pPr>
        <w:spacing w:before="0" w:after="80" w:line="276" w:lineRule="auto"/>
      </w:pPr>
      <w:r>
        <w:rPr>
          <w:b/>
        </w:rPr>
        <w:t>Câu hỏi 1:</w:t>
      </w:r>
      <w:r>
        <w:t xml:space="preserve"> Cơ chế rượu gây viêm dạ dày cấp chảy máu là gì? Phân biệt với hội chứng Mallory-Weiss thế nào?</w:t>
      </w:r>
    </w:p>
    <w:p>
      <w:pPr>
        <w:spacing w:before="0" w:after="80" w:line="276" w:lineRule="auto"/>
      </w:pPr>
      <w:r>
        <w:rPr>
          <w:b/>
        </w:rPr>
        <w:t>Câu hỏi 2:</w:t>
      </w:r>
      <w:r>
        <w:t xml:space="preserve"> Bạn test H. pylori cho anh Khánh lúc này được không? Xử trí trước mắt là gì?</w:t>
      </w:r>
    </w:p>
    <w:p>
      <w:pPr>
        <w:spacing w:before="0" w:after="80" w:line="276" w:lineRule="auto"/>
      </w:pPr>
      <w:r>
        <w:rPr>
          <w:i/>
        </w:rPr>
        <w:t>(Gợi ý trả lời:)</w:t>
      </w:r>
    </w:p>
    <w:p>
      <w:pPr>
        <w:spacing w:before="0" w:after="80" w:line="276" w:lineRule="auto"/>
      </w:pPr>
      <w:r>
        <w:rPr>
          <w:b/>
        </w:rPr>
        <w:t>Đáp án 1 — Cơ chế và phân biệt:</w:t>
      </w:r>
    </w:p>
    <w:p>
      <w:pPr>
        <w:spacing w:before="0" w:after="80" w:line="276" w:lineRule="auto"/>
      </w:pPr>
      <w:r>
        <w:rPr>
          <w:b/>
        </w:rPr>
        <w:t>Cơ chế rượu gây viêm dạ dày cấp:</w:t>
      </w:r>
    </w:p>
    <w:p>
      <w:pPr>
        <w:pStyle w:val="ListBullet"/>
        <w:spacing w:before="20" w:after="40"/>
      </w:pPr>
      <w:r>
        <w:t xml:space="preserve">Rượu nồng độ cao phá hủy trực tiếp </w:t>
      </w:r>
      <w:r>
        <w:rPr>
          <w:b/>
        </w:rPr>
        <w:t>hàng rào niêm mạc dạ dày</w:t>
      </w:r>
      <w:r>
        <w:t xml:space="preserve"> (làm tan lớp phospholipid bảo vệ bề mặt).</w:t>
      </w:r>
    </w:p>
    <w:p>
      <w:pPr>
        <w:pStyle w:val="ListBullet"/>
        <w:spacing w:before="20" w:after="40"/>
      </w:pPr>
      <w:r>
        <w:t>Tăng tiết acid + giảm lưu lượng máu niêm mạc → tổn thương thiếu máu cục bộ.</w:t>
      </w:r>
    </w:p>
    <w:p>
      <w:pPr>
        <w:pStyle w:val="ListBullet"/>
        <w:spacing w:before="20" w:after="40"/>
      </w:pPr>
      <w:r>
        <w:t>Ức chế tổng hợp prostaglandin → giảm khả năng tự sửa chữa niêm mạc.</w:t>
      </w:r>
    </w:p>
    <w:p>
      <w:pPr>
        <w:pStyle w:val="ListBullet"/>
        <w:spacing w:before="20" w:after="40"/>
      </w:pPr>
      <w:r>
        <w:t>→ Viêm trợt niêm mạc cấp, có thể chảy máu. Tổn thương thường lan tỏa, nông.</w:t>
      </w:r>
    </w:p>
    <w:p>
      <w:pPr>
        <w:spacing w:before="0" w:after="80" w:line="276" w:lineRule="auto"/>
      </w:pPr>
      <w:r>
        <w:rPr>
          <w:b/>
        </w:rPr>
        <w:t>Phân biệt viêm dạ dày do rượu vs Mallory-Weiss:</w:t>
      </w:r>
    </w:p>
    <w:p>
      <w:pPr>
        <w:pStyle w:val="ListBullet"/>
        <w:spacing w:before="20" w:after="40"/>
      </w:pPr>
      <w:r>
        <w:rPr>
          <w:b/>
        </w:rPr>
        <w:t>Viêm dạ dày cấp do rượu:</w:t>
      </w:r>
      <w:r>
        <w:t xml:space="preserve"> đau thượng vị âm ỉ hoặc rát, nôn ra máu </w:t>
      </w:r>
      <w:r>
        <w:rPr>
          <w:b/>
        </w:rPr>
        <w:t>lẫn dịch dạ dày</w:t>
      </w:r>
      <w:r>
        <w:t xml:space="preserve"> (máu đỏ tươi hoặc bã cà phê), tổn thương niêm mạc lan tỏa.</w:t>
      </w:r>
    </w:p>
    <w:p>
      <w:pPr>
        <w:pStyle w:val="ListBullet"/>
        <w:spacing w:before="20" w:after="40"/>
      </w:pPr>
      <w:r>
        <w:rPr>
          <w:b/>
        </w:rPr>
        <w:t>Mallory-Weiss:</w:t>
      </w:r>
      <w:r>
        <w:t xml:space="preserve"> nôn ói dữ dội → rách niêm mạc vùng tâm vị-thực quản → nôn ra máu đỏ tươi </w:t>
      </w:r>
      <w:r>
        <w:rPr>
          <w:b/>
        </w:rPr>
        <w:t>sau chuỗi nôn khan/nôn thức ăn</w:t>
      </w:r>
      <w:r>
        <w:t xml:space="preserve"> (máu thường xuất hiện ở lần nôn thứ 2-3). Đau thượng vị ít hơn.</w:t>
      </w:r>
    </w:p>
    <w:p>
      <w:pPr>
        <w:spacing w:before="0" w:after="80" w:line="276" w:lineRule="auto"/>
      </w:pPr>
      <w:r>
        <w:t>Anh Khánh: nôn 5 lần, máu ở lần cuối lẫn dịch + đau thượng vị rõ → nghiêng về viêm dạ dày cấp do rượu hơn. Không loại trừ được Mallory-Weiss nếu không nội soi.</w:t>
      </w:r>
    </w:p>
    <w:p>
      <w:pPr>
        <w:spacing w:before="0" w:after="80" w:line="276" w:lineRule="auto"/>
      </w:pPr>
      <w:r>
        <w:rPr>
          <w:b/>
        </w:rPr>
        <w:t>Đáp án 2:</w:t>
      </w:r>
    </w:p>
    <w:p>
      <w:pPr>
        <w:spacing w:before="0" w:after="80" w:line="276" w:lineRule="auto"/>
      </w:pPr>
      <w:r>
        <w:rPr>
          <w:b/>
        </w:rPr>
        <w:t>Không test H. pylori lúc này vì:</w:t>
      </w:r>
    </w:p>
    <w:p>
      <w:pPr>
        <w:pStyle w:val="ListBullet"/>
        <w:spacing w:before="20" w:after="40"/>
      </w:pPr>
      <w:r>
        <w:t xml:space="preserve">Đang XHTH cấp → RUT và mô bệnh học có thể </w:t>
      </w:r>
      <w:r>
        <w:rPr>
          <w:b/>
        </w:rPr>
        <w:t>âm tính giả</w:t>
      </w:r>
      <w:r>
        <w:t xml:space="preserve"> (máu làm loãng vi khuẩn, pH thay đổi). Nếu cần test: UBT sau khi ổn định ≥4 tuần (ngừng PPI ≥2 tuần, kháng sinh ≥4 tuần trước test).</w:t>
      </w:r>
    </w:p>
    <w:p>
      <w:pPr>
        <w:pStyle w:val="ListBullet"/>
        <w:spacing w:before="20" w:after="40"/>
      </w:pPr>
      <w:r>
        <w:t>PPI truyền IV đã bắt đầu cũng gây âm tính giả.</w:t>
      </w:r>
    </w:p>
    <w:p>
      <w:pPr>
        <w:spacing w:before="0" w:after="80" w:line="276" w:lineRule="auto"/>
      </w:pPr>
      <w:r>
        <w:rPr>
          <w:b/>
        </w:rPr>
        <w:t>Xử trí trước mắt:</w:t>
      </w:r>
    </w:p>
    <w:p>
      <w:pPr>
        <w:pStyle w:val="ListNumber"/>
        <w:spacing w:before="20" w:after="40"/>
      </w:pPr>
      <w:r>
        <w:rPr>
          <w:b/>
        </w:rPr>
        <w:t>Hồi sức:</w:t>
      </w:r>
      <w:r>
        <w:t xml:space="preserve"> 1-2 đường truyền IV, dịch tinh thể đẳng trương. Theo dõi mạch, HA, nước tiểu.</w:t>
      </w:r>
    </w:p>
    <w:p>
      <w:pPr>
        <w:pStyle w:val="ListNumber"/>
        <w:spacing w:before="20" w:after="40"/>
      </w:pPr>
      <w:r>
        <w:rPr>
          <w:b/>
        </w:rPr>
        <w:t>PPI IV:</w:t>
      </w:r>
      <w:r>
        <w:t xml:space="preserve"> pantoprazole 80mg bolus → 8mg/h truyền liên tục.</w:t>
      </w:r>
    </w:p>
    <w:p>
      <w:pPr>
        <w:pStyle w:val="ListNumber"/>
        <w:spacing w:before="20" w:after="40"/>
      </w:pPr>
      <w:r>
        <w:rPr>
          <w:b/>
        </w:rPr>
        <w:t>Chống nôn:</w:t>
      </w:r>
      <w:r>
        <w:t xml:space="preserve"> metoclopramide 10mg IV hoặc ondansetron 8mg IV.</w:t>
      </w:r>
    </w:p>
    <w:p>
      <w:pPr>
        <w:pStyle w:val="ListNumber"/>
        <w:spacing w:before="20" w:after="40"/>
      </w:pPr>
      <w:r>
        <w:rPr>
          <w:b/>
        </w:rPr>
        <w:t>Nội soi sớm trong 24h</w:t>
      </w:r>
      <w:r>
        <w:t xml:space="preserve"> để xác định nguồn chảy máu và can thiệp nếu cần.</w:t>
      </w:r>
    </w:p>
    <w:p>
      <w:pPr>
        <w:pStyle w:val="ListNumber"/>
        <w:spacing w:before="20" w:after="40"/>
      </w:pPr>
      <w:r>
        <w:rPr>
          <w:b/>
        </w:rPr>
        <w:t>Bù dịch, nghỉ ngơi, nhịn ăn đến khi nội soi.</w:t>
      </w:r>
    </w:p>
    <w:p>
      <w:pPr>
        <w:pStyle w:val="ListNumber"/>
        <w:spacing w:before="20" w:after="40"/>
      </w:pPr>
      <w:r>
        <w:rPr>
          <w:b/>
        </w:rPr>
        <w:t>Không dùng antacid đường uống lúc này</w:t>
      </w:r>
      <w:r>
        <w:t xml:space="preserve"> vì đang nôn + cần nhịn ăn trước nội soi.</w:t>
      </w:r>
    </w:p>
    <w:p>
      <w:pPr>
        <w:spacing w:before="0" w:after="80" w:line="276" w:lineRule="auto"/>
      </w:pPr>
      <w:r>
        <w:rPr>
          <w:b/>
        </w:rPr>
        <w:t>Sau hồi sức và nội soi:</w:t>
      </w:r>
      <w:r>
        <w:t xml:space="preserve"> nếu viêm dạ dày cấp đơn thuần không loét → PPI uống 4-8 tuần. Test H. pylori sau khi ngừng PPI ≥2 tuần.</w:t>
      </w:r>
    </w:p>
    <w:p>
      <w:pPr>
        <w:spacing w:before="0" w:after="80" w:line="276" w:lineRule="auto"/>
      </w:pPr>
      <w:r>
        <w:rPr>
          <w:b/>
        </w:rPr>
        <w:t>Vì sao các lựa chọn sai không phù hợp:</w:t>
      </w:r>
    </w:p>
    <w:p>
      <w:pPr>
        <w:pStyle w:val="ListBullet"/>
        <w:spacing w:before="20" w:after="40"/>
      </w:pPr>
      <w:r>
        <w:t>"Test H. pylori ngay trong lúc nội soi": RUT có thể âm tính giả trong XHTH cấp. Tốt hơn nên test sau khi ổn định.</w:t>
      </w:r>
    </w:p>
    <w:p>
      <w:pPr>
        <w:pStyle w:val="ListBullet"/>
        <w:spacing w:before="20" w:after="40"/>
      </w:pPr>
      <w:r>
        <w:t>"Cho uống antacid ngay": đang nôn + cần nhịn ăn trước nội soi → không phù hợp.</w:t>
      </w:r>
    </w:p>
    <w:p>
      <w:pPr>
        <w:pStyle w:val="ListBullet"/>
        <w:spacing w:before="20" w:after="40"/>
      </w:pPr>
      <w:r>
        <w:t>"Truyền máu ngay": chưa có xét nghiệm Hb. Nếu Hb &gt;7-8 g/dL và huyết động bù được bằng dịch, truyền máu chưa cần thiết.</w:t>
      </w:r>
    </w:p>
    <w:p>
      <w:pPr>
        <w:spacing w:before="0" w:after="80" w:line="276" w:lineRule="auto"/>
      </w:pPr>
      <w:r>
        <w:t>---</w:t>
      </w:r>
    </w:p>
    <w:p>
      <w:pPr>
        <w:pStyle w:val="Heading2"/>
        <w:spacing w:before="240" w:after="80"/>
      </w:pPr>
      <w:r>
        <w:t>Tổng kết — 6 bài học từ 5 case</w:t>
      </w:r>
    </w:p>
    <w:p>
      <w:pPr>
        <w:pStyle w:val="Heading3"/>
        <w:spacing w:before="240" w:after="80"/>
      </w:pPr>
      <w:r>
        <w:t>Viêm tụy cấp</w:t>
      </w:r>
    </w:p>
    <w:p>
      <w:pPr>
        <w:pStyle w:val="ListNumber"/>
        <w:spacing w:before="20" w:after="40"/>
      </w:pPr>
      <w:r>
        <w:rPr>
          <w:b/>
        </w:rPr>
        <w:t>Chẩn đoán AP không cần CT nếu đủ 2/3 tiêu chuẩn Atlanta 2012.</w:t>
      </w:r>
      <w:r>
        <w:t xml:space="preserve"> ALT &gt;150 gợi ý mạnh nguyên nhân sỏi mật.</w:t>
      </w:r>
    </w:p>
    <w:p>
      <w:pPr>
        <w:pStyle w:val="ListNumber"/>
        <w:spacing w:before="20" w:after="40"/>
      </w:pPr>
      <w:r>
        <w:rPr>
          <w:b/>
        </w:rPr>
        <w:t>BISAP là công cụ phân tầng tại giường cho mọi tuyến.</w:t>
      </w:r>
      <w:r>
        <w:t xml:space="preserve"> BISAP ≥3 → tử vong 5-20% → cần ICU, không trì hoãn.</w:t>
      </w:r>
    </w:p>
    <w:p>
      <w:pPr>
        <w:pStyle w:val="ListNumber"/>
        <w:spacing w:before="20" w:after="40"/>
      </w:pPr>
      <w:r>
        <w:rPr>
          <w:b/>
        </w:rPr>
        <w:t>Kháng sinh KHÔNG dùng dự phòng trong AP vô trùng giai đoạn sớm.</w:t>
      </w:r>
      <w:r>
        <w:t xml:space="preserve"> Chỉ dùng khi có bằng chứng nhiễm trùng hoại tử (sốt muộn, khí trong hoại tử, procalcitonin tăng).</w:t>
      </w:r>
    </w:p>
    <w:p>
      <w:pPr>
        <w:pStyle w:val="Heading3"/>
        <w:spacing w:before="240" w:after="80"/>
      </w:pPr>
      <w:r>
        <w:t>Viêm dạ dày cấp</w:t>
      </w:r>
    </w:p>
    <w:p>
      <w:pPr>
        <w:pStyle w:val="ListNumber"/>
        <w:spacing w:before="20" w:after="40"/>
      </w:pPr>
      <w:r>
        <w:rPr>
          <w:b/>
        </w:rPr>
        <w:t>NSAID + tuổi ≥55 + liều cao = nguy cơ loét cao → PPI dự phòng nếu phải dùng NSAID dài hạn.</w:t>
      </w:r>
    </w:p>
    <w:p>
      <w:pPr>
        <w:pStyle w:val="ListNumber"/>
        <w:spacing w:before="20" w:after="40"/>
      </w:pPr>
      <w:r>
        <w:rPr>
          <w:b/>
        </w:rPr>
        <w:t>Rượu gây viêm dạ dày cấp qua cơ chế phá hủy trực tiếp hàng rào niêm mạc.</w:t>
      </w:r>
      <w:r>
        <w:t xml:space="preserve"> Phân biệt với Mallory-Weiss dựa vào thời điểm nôn ra máu và đau thượng vị.</w:t>
      </w:r>
    </w:p>
    <w:p>
      <w:pPr>
        <w:pStyle w:val="ListNumber"/>
        <w:spacing w:before="20" w:after="40"/>
      </w:pPr>
      <w:r>
        <w:rPr>
          <w:b/>
        </w:rPr>
        <w:t>Không test H. pylori trong XHTH cấp</w:t>
      </w:r>
      <w:r>
        <w:t xml:space="preserve"> (âm tính giả). Test sau ổn định, ngừng PPI ≥2 tuần trước test.</w:t>
      </w:r>
    </w:p>
    <w:p>
      <w:pPr>
        <w:pStyle w:val="Heading2"/>
        <w:spacing w:before="240" w:after="80"/>
      </w:pPr>
      <w:r>
        <w:t>Nguồn</w:t>
      </w:r>
    </w:p>
    <w:p>
      <w:pPr>
        <w:pStyle w:val="ListBullet"/>
        <w:spacing w:before="20" w:after="40"/>
      </w:pPr>
      <w:r>
        <w:t>Revised Atlanta 2012: PMID 23100216 [DIRECTION ONLY] — tiêu chuẩn chẩn đoán và phân độ AP</w:t>
      </w:r>
    </w:p>
    <w:p>
      <w:pPr>
        <w:pStyle w:val="ListBullet"/>
        <w:spacing w:before="20" w:after="40"/>
      </w:pPr>
      <w:r>
        <w:t>IDSA/SHEA 2017 CDI: PMID 29462280 [FULL VERIFIED]</w:t>
      </w:r>
    </w:p>
    <w:p>
      <w:pPr>
        <w:pStyle w:val="ListBullet"/>
        <w:spacing w:before="20" w:after="40"/>
      </w:pPr>
      <w:r>
        <w:t>Korean Drug-related PUD 2020: PMID 33191311 [FULL VERIFIED] — PPI cho NSAID giảm PU 54-76%</w:t>
      </w:r>
    </w:p>
    <w:p>
      <w:pPr>
        <w:pStyle w:val="ListBullet"/>
        <w:spacing w:before="20" w:after="40"/>
      </w:pPr>
      <w:r>
        <w:t>VNAGE 2022: PMID 36714104 [FULL VERIFIED] — phác đồ H. pylori, ngừng PPI ≥2 tuần trước test</w:t>
      </w:r>
    </w:p>
    <w:p>
      <w:pPr>
        <w:pStyle w:val="ListBullet"/>
        <w:spacing w:before="20" w:after="40"/>
      </w:pPr>
      <w:r>
        <w:t>Cochrane SR: PMID 20464721 [DIRECTION ONLY] — kháng sinh dự phòng không giảm tử vong trong AP vô trùng</w:t>
      </w:r>
    </w:p>
    <w:p>
      <w:pPr>
        <w:pStyle w:val="ListBullet"/>
        <w:spacing w:before="20" w:after="40"/>
      </w:pPr>
      <w:r>
        <w:t>Bài học gốc: IM-42 (Viêm tụy cấp, bệnh túi mật và đường mật), IM-37 (Bệnh loét dạ dày-tá tràng, GERD và khó tiêu)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