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iMath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ĐỀ ÔN TẬP</w:t>
            </w:r>
          </w:p>
        </w:tc>
      </w:tr>
      <w:tr>
        <w:tc>
          <w:tcPr/>
          <w:p>
            <w:pPr>
              <w:pStyle w:val="Compact"/>
              <w:jc w:val="center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Môn: TOÁN 10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Thời gian: phút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Mã đề: 001</w:t>
            </w:r>
          </w:p>
        </w:tc>
      </w:tr>
    </w:tbl>
    <w:p>
      <w:pPr>
        <w:pStyle w:val="BodyText"/>
      </w:pPr>
      <w:r>
        <w:rPr>
          <w:b/>
          <w:bCs/>
        </w:rPr>
        <w:t xml:space="preserve">Họ tên HS: ..................................................Số báo danh:..................................................</w:t>
      </w:r>
    </w:p>
    <w:p>
      <w:pPr>
        <w:pStyle w:val="BodyText"/>
      </w:pPr>
      <w:r>
        <w:rPr>
          <w:b/>
          <w:bCs/>
        </w:rPr>
        <w:t xml:space="preserve">—–HẾT—–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2025-03-06T14:44:25Z</dcterms:created>
  <dcterms:modified xsi:type="dcterms:W3CDTF">2025-03-06T14:44:25Z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