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 đường thẳng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B. *Điểm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C. Có duy nhất một mặt phẳng chứa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D.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đường thẳng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, đường thẳng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Tìm khẳng định sai trong các khẳng định sau.</w:t>
      </w:r>
    </w:p>
    <w:p>
      <w:pPr>
        <w:pStyle w:val="BodyText"/>
      </w:pPr>
      <w:r>
        <w:t xml:space="preserve">A.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B. *Điểm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cùng nằm trong một mặt phẳng.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không có điểm chung.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 cho đường thẳng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chứa trong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, đường thẳng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Tìm khẳng định đúng trong các khẳng định sau.</w:t>
      </w:r>
    </w:p>
    <w:p>
      <w:pPr>
        <w:pStyle w:val="BodyText"/>
      </w:pPr>
      <w:r>
        <w:t xml:space="preserve">A. *Có duy nhất một mặt phẳng chứa điểm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cùng thuộc một mặt phẳng.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chéo nhau.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2024-11-22T07:41:50Z</dcterms:created>
  <dcterms:modified xsi:type="dcterms:W3CDTF">2024-11-22T07:41:50Z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