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đúng vị trí IEEE 830 cho toàn bộ nội dung/sơ đồ</w:t>
      </w:r>
      <w:r w:rsidDel="00000000" w:rsidR="00000000" w:rsidRPr="00000000">
        <w:rPr>
          <w:sz w:val="21"/>
          <w:szCs w:val="21"/>
          <w:rtl w:val="0"/>
        </w:rPr>
        <w:t xml:space="preserve"> (điền cột còn trống, đã làm mẫu 2 dòng đầu):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9.2065414900067"/>
        <w:gridCol w:w="2675.832828588734"/>
        <w:gridCol w:w="2820.4724409448822"/>
        <w:tblGridChange w:id="0">
          <w:tblGrid>
            <w:gridCol w:w="3529.2065414900067"/>
            <w:gridCol w:w="2675.832828588734"/>
            <w:gridCol w:w="2820.472440944882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"Giỏ hàng")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mục 1.3 Definitions, Acronyms, and Abbreviations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2.2 Product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áp mã giảm giá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Chuẩn hóa các yêu cầu chức năng theo đặc tính vàng</w:t>
      </w:r>
      <w:r w:rsidDel="00000000" w:rsidR="00000000" w:rsidRPr="00000000">
        <w:rPr>
          <w:sz w:val="21"/>
          <w:szCs w:val="21"/>
          <w:rtl w:val="0"/>
        </w:rPr>
        <w:t xml:space="preserve"> (mỗi yêu cầu có thể vi phạm 1 đặc tính khác nhau, tự xác định):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640853882029"/>
        <w:gridCol w:w="4824.230229648261"/>
        <w:gridCol w:w="2665.640727493333"/>
        <w:tblGridChange w:id="0">
          <w:tblGrid>
            <w:gridCol w:w="1535.640853882029"/>
            <w:gridCol w:w="4824.230229648261"/>
            <w:gridCol w:w="2665.6407274933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phải áp dụng giảm giá khi mã còn hiệu lực; nếu mã không hợp lệ hoặc hết hạn thì hiển thị thông báo lỗi.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phải hoàn tất xử lý thanh toán trong tối đa 3 giây với 95% giao dịch thành công.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