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jc w:val="center"/>
        <w:rPr>
          <w:b w:val="1"/>
          <w:bCs w:val="1"/>
          <w:sz w:val="33"/>
          <w:szCs w:val="33"/>
        </w:rPr>
      </w:pPr>
      <w:bookmarkStart w:colFirst="0" w:colLast="0" w:name="_a5o86hxq88u4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XẾP ƯU TIÊN CHO BẢN MỚI BẰNG KỸ THUẬT MOSCOW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Điền bảng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.0768696047826"/>
        <w:gridCol w:w="3375.5124429671014"/>
        <w:gridCol w:w="1448.7177866811594"/>
        <w:gridCol w:w="3723.2047117705797"/>
        <w:tblGridChange w:id="0">
          <w:tblGrid>
            <w:gridCol w:w="478.0768696047826"/>
            <w:gridCol w:w="3375.5124429671014"/>
            <w:gridCol w:w="1448.7177866811594"/>
            <w:gridCol w:w="3723.204711770579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Hạng mục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Nhãn MoSCoW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Vì sao chọn nhãn này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Sửa lỗi hiển thị sai cước sau khuyến mãi (đang thu sai tiền khách)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Phải sửa để tránh thu sai tiền khách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Áp mã khuyến mãi khi đặt 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Cần có để chương trình khuyến mãi hoạt động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Thanh toán bằng ví RikkeiPay (khách vẫn trả được tiền mặt)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Khách vẫn có thể trả tiền mặt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Hẹn giờ đặt xe trước (không cần cho chương trình khuyến mãi; đội chưa bàn xong cách làm)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Won’t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Chưa cần cho bản này và chưa thống nhất cách làm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Chat với tài xế (khách vẫn gọi điện được)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Khách vẫn có thể gọi điện nên chưa bắt buộc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Giao diện trang trí cho chương trình khuyến mãi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Chỉ làm đẹp giao diện, không ảnh hưởng chức năng chính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Khi tình thay đổi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Bỏ #6 và #5 trước vì không ảnh hưởng nhiều đến việc sử dụng ứng dụng.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Giữ #1 và #2 đến cùng vì cần tránh thu sai tiền và bảo đảm chương trình khuyến mãi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hoạt động. Nếu vẫn thiếu thời gian, có thể cân nhắc lùi cả hạng mục Should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#3 đổi từ Should thành Must vì tài xế không nhận tiền mặt nữa. Nếu không có ví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RikkeiPay, khách sẽ không thể thanh toán chuyến xe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