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0"/>
        <w:jc w:val="left"/>
      </w:pPr>
      <w:r>
        <w:rPr>
          <w:rFonts w:ascii="Times New Roman" w:hAnsi="Times New Roman" w:eastAsia="Times New Roman"/>
          <w:b/>
          <w:sz w:val="26"/>
        </w:rPr>
        <w:t>5.1. Discussion of Empirical Findings – Thảo luận kết quả thực nghiệm</w:t>
      </w:r>
    </w:p>
    <w:p>
      <w:pPr>
        <w:pStyle w:val="Heading2"/>
        <w:spacing w:line="360" w:lineRule="auto" w:after="0"/>
        <w:jc w:val="left"/>
      </w:pPr>
      <w:r>
        <w:rPr>
          <w:rFonts w:ascii="Times New Roman" w:hAnsi="Times New Roman" w:eastAsia="Times New Roman"/>
          <w:b/>
          <w:sz w:val="26"/>
        </w:rPr>
        <w:t>5.1.1. RQ1 – Mối liên hệ giữa điều kiện tài chính toàn cầu và lợi suất BTC/ETH</w:t>
      </w:r>
    </w:p>
    <w:p>
      <w:pPr>
        <w:spacing w:line="360" w:lineRule="auto" w:after="0"/>
        <w:jc w:val="both"/>
      </w:pPr>
      <w:r>
        <w:rPr>
          <w:rFonts w:ascii="Times New Roman" w:hAnsi="Times New Roman" w:eastAsia="Times New Roman"/>
          <w:sz w:val="26"/>
        </w:rPr>
        <w:t>Mục đích kiểm định. RQ1 xem xét liệu các đại diện cho điều kiện tài chính toàn cầu—VIX (kỳ vọng biến động/rủi ro thị trường), DXY (sức mạnh tương đối của USD) và US2Y (lợi suất trái phiếu Chính phủ Mỹ kỳ hạn hai năm)—có liên hệ với lợi suất BTC và ETH hay không, và liệu các liên hệ đó có còn đáng tin cậy sau khi điều chỉnh cho nhiều giả thuyết. Kết quả LP tại h = 0 là trọng tâm để mô tả mối liên hệ cùng ngày; bảng LP và bảng LP-FDR trong chương kết quả cung cấp các hệ số theo từng chân trời.</w:t>
      </w:r>
    </w:p>
    <w:p>
      <w:pPr>
        <w:spacing w:line="360" w:lineRule="auto" w:after="0"/>
        <w:jc w:val="both"/>
      </w:pPr>
      <w:r>
        <w:rPr>
          <w:rFonts w:ascii="Times New Roman" w:hAnsi="Times New Roman" w:eastAsia="Times New Roman"/>
          <w:sz w:val="26"/>
        </w:rPr>
        <w:t>Kết quả định lượng. Trong LP cùng ngày, hệ số VIX là −0,5725 đối với BTC (p &lt; 0,001; p-FDR = 2,24×10⁻⁸) và −0,7824 đối với ETH (p &lt; 0,001; p-FDR = 4,12×10⁻¹²). Hệ số DXY lần lượt là −0,8489 đối với BTC (p = 0,0004; p-FDR = 0,0258) và −0,9866 đối với ETH (p = 0,0012; p-FDR = 0,0316). Cả bốn liên hệ âm cùng ngày vẫn có ý nghĩa sau BH-FDR ở mức 5%. Ngược lại, hệ số US2Y là −2,3639 đối với BTC (p = 0,1866; p-FDR = 0,8634) và −2,7575 đối với ETH (p = 0,1414; p-FDR = 0,8358); khoảng tin cậy 95% của cả hai đều chứa 0. Như vậy, dấu âm của US2Y chỉ là hướng ước lượng trong đặc tả này, chưa phải bằng chứng thống kê đủ mạnh về mối liên hệ cùng ngày.</w:t>
      </w:r>
    </w:p>
    <w:p>
      <w:pPr>
        <w:spacing w:line="360" w:lineRule="auto" w:after="0"/>
        <w:jc w:val="both"/>
      </w:pPr>
      <w:r>
        <w:rPr>
          <w:rFonts w:ascii="Times New Roman" w:hAnsi="Times New Roman" w:eastAsia="Times New Roman"/>
          <w:sz w:val="26"/>
        </w:rPr>
        <w:t>Ý nghĩa kinh tế. Liên hệ âm giữa VIX và lợi suất crypto phù hợp với kênh tâm lý né tránh rủi ro: khi bất ổn trên thị trường tài chính tăng, nhà đầu tư có thể giảm vị thế ở tài sản biến động cao. Liên hệ âm với DXY có thể phản ánh việc USD mạnh lên đi cùng điều kiện tài chính quốc tế chặt chẽ hơn, nhu cầu nắm giữ USD tăng hoặc sự thu hẹp khẩu vị rủi ro. Đây là những cơ chế hợp lý về kinh tế, nhưng mô hình không xác định riêng cơ chế nào đã tạo ra hệ số quan sát được. Không nên so sánh trực tiếp độ lớn hệ số VIX, DXY và US2Y vì mỗi biến có đơn vị đo khác nhau. Khi chuẩn hóa cú thay đổi theo một độ lệch chuẩn, liên hệ âm cùng ngày với VIX và DXY có độ lớn lớn hơn đối với ETH trong mẫu này; điều đó chỉ gợi ý độ nhạy đồng thời cao hơn của ETH theo đặc tả đang dùng, không chứng minh ETH luôn rủi ro hơn BTC.</w:t>
      </w:r>
    </w:p>
    <w:p>
      <w:pPr>
        <w:spacing w:line="360" w:lineRule="auto" w:after="0"/>
        <w:jc w:val="both"/>
      </w:pPr>
      <w:r>
        <w:rPr>
          <w:rFonts w:ascii="Times New Roman" w:hAnsi="Times New Roman" w:eastAsia="Times New Roman"/>
          <w:sz w:val="26"/>
        </w:rPr>
        <w:t>Đối chiếu nghiên cứu trước. Kết quả về VIX nhất quán với lập luận của Gaies et al. (2024), theo đó BTC không phải lúc nào cũng đóng vai trò trú ẩn trước bất ổn tài chính và ETH có thể dễ tổn thương hơn trong điều kiện thị trường bất lợi. Kết quả cũng phù hợp với hướng tiếp cận của Colombage et al. (2025), xem căng thẳng tài chính toàn cầu là một kênh có thể truyền sang thị trường crypto. Tuy nhiên, các nghiên cứu sử dụng chỉ số, mẫu và phương pháp khác nhau nên sự tương đồng về dấu không đồng nghĩa với khả năng tái lập chính xác hệ số.</w:t>
      </w:r>
    </w:p>
    <w:p>
      <w:pPr>
        <w:spacing w:line="360" w:lineRule="auto" w:after="0"/>
        <w:jc w:val="both"/>
      </w:pPr>
      <w:r>
        <w:rPr>
          <w:rFonts w:ascii="Times New Roman" w:hAnsi="Times New Roman" w:eastAsia="Times New Roman"/>
          <w:sz w:val="26"/>
        </w:rPr>
        <w:t>Kết luận trả lời RQ1 và độ tin cậy. Bằng chứng rõ nhất là liên hệ âm cùng ngày của VIX và DXY với lợi suất BTC/ETH; các hệ số này vẫn có ý nghĩa sau BH-FDR. Với US2Y, chưa có bằng chứng đủ mạnh để khẳng định mối liên hệ cùng ngày. Độ tin cậy của kết luận bị giới hạn bởi việc VIX, DXY và US2Y là biến thị trường quan sát được, không phải các cú sốc ngoại sinh đã được nhận diện; vì vậy, không thể diễn giải các hệ số như tác động nhân quả của chính sách tiền tệ hoặc của một cú sốc USD/rủi ro độc lập.</w:t>
      </w:r>
    </w:p>
    <w:p>
      <w:pPr>
        <w:pStyle w:val="Heading2"/>
        <w:spacing w:line="360" w:lineRule="auto" w:after="0"/>
        <w:jc w:val="left"/>
      </w:pPr>
      <w:r>
        <w:rPr>
          <w:rFonts w:ascii="Times New Roman" w:hAnsi="Times New Roman" w:eastAsia="Times New Roman"/>
          <w:b/>
          <w:sz w:val="26"/>
        </w:rPr>
        <w:t>5.1.2. RQ2 – Phản ứng động của BTC/ETH</w:t>
      </w:r>
    </w:p>
    <w:p>
      <w:pPr>
        <w:spacing w:line="360" w:lineRule="auto" w:after="0"/>
        <w:jc w:val="both"/>
      </w:pPr>
      <w:r>
        <w:rPr>
          <w:rFonts w:ascii="Times New Roman" w:hAnsi="Times New Roman" w:eastAsia="Times New Roman"/>
          <w:sz w:val="26"/>
        </w:rPr>
        <w:t>Mục đích kiểm định. RQ2 xem xét phản ứng thay đổi như thế nào qua các chân trời, bằng cách kết hợp Local Projections (LP) và VAR/Impulse Response Functions (IRF). LP ước lượng mối liên hệ của cú thay đổi vĩ mô với lợi suất ở từng ngày t+h; VAR/IRF mô tả phản ứng động của hệ thống trước một đổi mới đã được trực giao hóa theo Cholesky. Bảng LP theo chân trời, hình IRF và bảng so sánh tại h = 0 trong chương kết quả cần được đọc cùng nhau.</w:t>
      </w:r>
    </w:p>
    <w:p>
      <w:pPr>
        <w:spacing w:line="360" w:lineRule="auto" w:after="0"/>
        <w:jc w:val="both"/>
      </w:pPr>
      <w:r>
        <w:rPr>
          <w:rFonts w:ascii="Times New Roman" w:hAnsi="Times New Roman" w:eastAsia="Times New Roman"/>
          <w:sz w:val="26"/>
        </w:rPr>
        <w:t>Kết quả định lượng. LP cho thấy các hệ số cùng ngày của VIX và DXY âm, có ý nghĩa sau BH-FDR. Ở các chân trời tiếp theo, dấu và độ lớn thay đổi, không tạo thành một quỹ đạo ổn định. Chẳng hạn, hệ số DXY có thể chuyển dương tại h = 5 trong một số ước lượng LP; tuy nhiên, hệ số ở h = 5 là lợi suất của riêng ngày t+5, không phải lợi suất tích lũy từ t đến t+5. Một số hệ số xa hơn, gồm các chân trời 17–18, có ý nghĩa rời rạc trong một số kiểm định, nhưng không đủ để xác lập một quá trình truyền dẫn liên tục. Trong VAR(5), IRF Cholesky cho phản ứng tức thời âm rõ với VIX: khoảng −1,1929 đối với BTC và −1,6295 đối với ETH; phản ứng tức thời với DXY lần lượt khoảng −0,4146 và −0,4707. Phản ứng US2Y tại h = 0 là −0,1139 với BTC và −0,1389 với ETH, nhưng khoảng tin cậy 95% chứa 0. Từ h = 1 trở đi, phần lớn khoảng tin cậy IRF cho VIX/DXY nhanh chóng bao gồm 0; ETH có một điểm phản ứng VIX âm tại h = 2, song các chân trời còn lại không cho thấy đường phản ứng âm bền vững.</w:t>
      </w:r>
    </w:p>
    <w:p>
      <w:pPr>
        <w:spacing w:line="360" w:lineRule="auto" w:after="0"/>
        <w:jc w:val="both"/>
      </w:pPr>
      <w:r>
        <w:rPr>
          <w:rFonts w:ascii="Times New Roman" w:hAnsi="Times New Roman" w:eastAsia="Times New Roman"/>
          <w:sz w:val="26"/>
        </w:rPr>
        <w:t>Ý nghĩa kinh tế. Kết quả gợi ý rằng thông tin về tâm lý rủi ro và sức mạnh USD có thể đồng hành với điều chỉnh giá crypto ngay trong ngày, trong khi bằng chứng về hiệu ứng kéo dài yếu hơn. Phản ứng ban đầu có thể phản ánh việc tái định giá nhanh, đóng vị thế hoặc điều chỉnh thanh khoản; sau đó, thông tin mới và các yếu tố nội tại của crypto có thể làm phản ứng biến đổi. Tuy nhiên, không thể kết luận rằng hệ số dương tại một chân trời riêng lẻ là “đảo chiều” của tổng tác động, vì LP không cộng dồn lợi suất qua các ngày.</w:t>
      </w:r>
    </w:p>
    <w:p>
      <w:pPr>
        <w:spacing w:line="360" w:lineRule="auto" w:after="0"/>
        <w:jc w:val="both"/>
      </w:pPr>
      <w:r>
        <w:rPr>
          <w:rFonts w:ascii="Times New Roman" w:hAnsi="Times New Roman" w:eastAsia="Times New Roman"/>
          <w:sz w:val="26"/>
        </w:rPr>
        <w:t>Không thể so sánh trực tiếp các con số LP và VAR/IRF nếu chưa quy đổi đơn vị. LP ở h = 0 được diễn giải theo một đơn vị thay đổi của biến giải thích, còn IRF Cholesky được tính theo đổi mới trực giao hóa, thường được chuẩn hóa theo độ lệch chuẩn. Ngoài ra, LP sử dụng chân trời theo ngày lịch, trong khi VAR/IRF dùng các quan sát theo lịch giao dịch vĩ mô; cuối cùng, IRF phụ thuộc vào thứ tự biến trong phép trực giao hóa Cholesky. Bảng so sánh h = 0 đã chuẩn hóa gần đúng theo độ lệch chuẩn để hỗ trợ đối chiếu, nhưng ngay cả so sánh này cũng chỉ mang tính tham khảo, không phải sự tương đương hoàn toàn giữa hai phương pháp.</w:t>
      </w:r>
    </w:p>
    <w:p>
      <w:pPr>
        <w:spacing w:line="360" w:lineRule="auto" w:after="0"/>
        <w:jc w:val="both"/>
      </w:pPr>
      <w:r>
        <w:rPr>
          <w:rFonts w:ascii="Times New Roman" w:hAnsi="Times New Roman" w:eastAsia="Times New Roman"/>
          <w:sz w:val="26"/>
        </w:rPr>
        <w:t>Đối chiếu nghiên cứu trước. Cách tiếp cận động phù hợp với Karau (2023), người cho thấy phản ứng của Bitcoin trước thông tin chính sách tiền tệ có thể thay đổi theo thời gian và cách nhận diện cú sốc. Kết quả cũng phù hợp với cảnh báo trong tổng quan rằng crypto có thể vừa phản ứng nhanh với điều kiện tài chính, vừa không duy trì một quan hệ ổn định trên mọi chân trời. Tuy nhiên, nghiên cứu hiện tại sử dụng US2Y quan sát được thay vì một chuỗi bất ngờ chính sách tiền tệ tần suất cao; vì vậy, không nên coi đây là phép tái lập trực tiếp tác động của thông báo FOMC.</w:t>
      </w:r>
    </w:p>
    <w:p>
      <w:pPr>
        <w:spacing w:line="360" w:lineRule="auto" w:after="0"/>
        <w:jc w:val="both"/>
      </w:pPr>
      <w:r>
        <w:rPr>
          <w:rFonts w:ascii="Times New Roman" w:hAnsi="Times New Roman" w:eastAsia="Times New Roman"/>
          <w:sz w:val="26"/>
        </w:rPr>
        <w:t>Kết luận trả lời RQ2 và độ tin cậy. Phản ứng có bằng chứng rõ nhất là phản ứng âm cùng ngày với VIX và DXY; bằng chứng về độ bền và hình dạng của phản ứng sau đó còn yếu, phụ thuộc chân trời và phương pháp. VAR(5) ổn định theo kiểm định nghiệm đặc trưng, nhưng kiểm định Portmanteau ở 20 độ trễ có p = 0,0555 trong khi kiểm định ở 12 độ trễ cho p = 0,0170; do đó, chẩn đoán tự tương quan phần dư không hoàn toàn nhất quán. Cùng với sự phụ thuộc thứ tự Cholesky, điều này yêu cầu diễn giải IRF như bằng chứng động có điều kiện, không phải nhận diện nhân quả dứt khoát.</w:t>
      </w:r>
    </w:p>
    <w:p>
      <w:pPr>
        <w:pStyle w:val="Heading2"/>
        <w:spacing w:line="360" w:lineRule="auto" w:after="0"/>
        <w:jc w:val="left"/>
      </w:pPr>
      <w:r>
        <w:rPr>
          <w:rFonts w:ascii="Times New Roman" w:hAnsi="Times New Roman" w:eastAsia="Times New Roman"/>
          <w:b/>
          <w:sz w:val="26"/>
        </w:rPr>
        <w:t>5.1.3. RQ3 – Khác biệt trước và sau năm 2020</w:t>
      </w:r>
    </w:p>
    <w:p>
      <w:pPr>
        <w:spacing w:line="360" w:lineRule="auto" w:after="0"/>
        <w:jc w:val="both"/>
      </w:pPr>
      <w:r>
        <w:rPr>
          <w:rFonts w:ascii="Times New Roman" w:hAnsi="Times New Roman" w:eastAsia="Times New Roman"/>
          <w:sz w:val="26"/>
        </w:rPr>
        <w:t>Mục đích kiểm định. RQ3 kiểm tra liệu hệ số truyền dẫn giữa điều kiện tài chính toàn cầu và BTC/ETH có thay đổi giữa giai đoạn 2018–2019 và 2020–2025 hay không. Trọng tâm là kiểm định trực tiếp chênh lệch hệ số trong mô hình tương tác, không chỉ so sánh bằng mắt các hệ số hồi quy được ước lượng riêng theo từng giai đoạn. Kết quả được trình bày trong bảng subperiod difference và bảng BH-FDR ở chương kết quả.</w:t>
      </w:r>
    </w:p>
    <w:p>
      <w:pPr>
        <w:spacing w:line="360" w:lineRule="auto" w:after="0"/>
        <w:jc w:val="both"/>
      </w:pPr>
      <w:r>
        <w:rPr>
          <w:rFonts w:ascii="Times New Roman" w:hAnsi="Times New Roman" w:eastAsia="Times New Roman"/>
          <w:sz w:val="26"/>
        </w:rPr>
        <w:t>Kết quả định lượng. Trong 186 kiểm định chênh lệch, 20 kiểm định có p-value danh nghĩa nhỏ hơn 0,05 trước điều chỉnh; sau BH-FDR ở mức 5%, không kiểm định nào còn có ý nghĩa. Một số hệ số cùng ngày của VIX và DXY có độ lớn âm lớn hơn trong giai đoạn sau 2020 ở các hồi quy tách mẫu, nhưng các chênh lệch trực tiếp không vượt qua ngưỡng FDR. Kiểm tra mẫu cân bằng cũng cho thấy các ước lượng giai đoạn trước 2020 có độ bất định đáng kể, phù hợp với quy mô mẫu ngắn hơn.</w:t>
      </w:r>
    </w:p>
    <w:p>
      <w:pPr>
        <w:spacing w:line="360" w:lineRule="auto" w:after="0"/>
        <w:jc w:val="both"/>
      </w:pPr>
      <w:r>
        <w:rPr>
          <w:rFonts w:ascii="Times New Roman" w:hAnsi="Times New Roman" w:eastAsia="Times New Roman"/>
          <w:sz w:val="26"/>
        </w:rPr>
        <w:t>Ý nghĩa kinh tế. Giai đoạn sau 2020 bao gồm nhiều biến đổi quan trọng—đại dịch, chính sách tiền tệ nới lỏng rồi thắt chặt, sự tham gia lớn hơn của nhà đầu tư tổ chức và các cú sốc riêng của thị trường crypto. Những yếu tố này có thể làm thay đổi tương quan, thanh khoản hoặc cơ cấu người tham gia. Dù vậy, mốc 2020 chỉ là cách chia mẫu được đặt trước, không tự nó tạo ra thiết kế nhận diện nhân quả. Việc một số hệ số sau 2020 lớn hơn về độ lớn có thể phản ánh thay đổi thật, nhiễu mẫu hoặc các sự kiện khác nhau nằm trong mỗi giai đoạn.</w:t>
      </w:r>
    </w:p>
    <w:p>
      <w:pPr>
        <w:spacing w:line="360" w:lineRule="auto" w:after="0"/>
        <w:jc w:val="both"/>
      </w:pPr>
      <w:r>
        <w:rPr>
          <w:rFonts w:ascii="Times New Roman" w:hAnsi="Times New Roman" w:eastAsia="Times New Roman"/>
          <w:sz w:val="26"/>
        </w:rPr>
        <w:t>Đối chiếu nghiên cứu trước. Karau (2023) ghi nhận phản ứng của Bitcoin trước chính sách tiền tệ có thể khác nhau giữa các giai đoạn, còn Hsu, Cheng và Yang (2024) nhấn mạnh vai trò của điểm gãy cấu trúc khi đánh giá quan hệ giữa crypto và tài sản truyền thống. Kết quả hiện tại không phủ nhận các khả năng đó; nó cho thấy rằng với cách chia trước/sau 2020 và hệ thống kiểm định đang sử dụng, chưa có bằng chứng đủ mạnh về một thay đổi có hệ thống sau khi kiểm soát vấn đề kiểm định nhiều giả thuyết.</w:t>
      </w:r>
    </w:p>
    <w:p>
      <w:pPr>
        <w:spacing w:line="360" w:lineRule="auto" w:after="0"/>
        <w:jc w:val="both"/>
      </w:pPr>
      <w:r>
        <w:rPr>
          <w:rFonts w:ascii="Times New Roman" w:hAnsi="Times New Roman" w:eastAsia="Times New Roman"/>
          <w:sz w:val="26"/>
        </w:rPr>
        <w:t>Kết luận trả lời RQ3 và độ tin cậy. Chưa thể xác nhận rằng mối liên hệ Macro–Crypto đã thay đổi một cách có hệ thống sau năm 2020. Không có kiểm định nào còn ý nghĩa sau FDR không có nghĩa các giai đoạn giống hệt nhau; kết quả cũng có thể phản ánh công suất thống kê hạn chế do giai đoạn trước 2020 ngắn hơn, nhiều hệ số được kiểm định và mốc chia mẫu có thể không trùng với điểm gãy thực tế.</w:t>
      </w:r>
    </w:p>
    <w:p>
      <w:pPr>
        <w:pStyle w:val="Heading2"/>
        <w:spacing w:line="360" w:lineRule="auto" w:after="0"/>
        <w:jc w:val="left"/>
      </w:pPr>
      <w:r>
        <w:rPr>
          <w:rFonts w:ascii="Times New Roman" w:hAnsi="Times New Roman" w:eastAsia="Times New Roman"/>
          <w:b/>
          <w:sz w:val="26"/>
        </w:rPr>
        <w:t>5.1.4. RQ4 – Khác biệt giữa Calm và Stress</w:t>
      </w:r>
    </w:p>
    <w:p>
      <w:pPr>
        <w:spacing w:line="360" w:lineRule="auto" w:after="0"/>
        <w:jc w:val="both"/>
      </w:pPr>
      <w:r>
        <w:rPr>
          <w:rFonts w:ascii="Times New Roman" w:hAnsi="Times New Roman" w:eastAsia="Times New Roman"/>
          <w:sz w:val="26"/>
        </w:rPr>
        <w:t>Mục đích kiểm định. RQ4 đánh giá liệu hệ số liên hệ giữa VIX, DXY, US2Y với lợi suất BTC/ETH có khác nhau giữa trạng thái Calm và Stress hay không. Trạng thái Stress được xác định khi VIX của phiên vĩ mô trước đó đạt ít nhất 30 điểm; sử dụng VIX trễ giúp tránh phân loại trạng thái bằng chính giá trị VIX cùng kỳ đang được đưa vào mô hình. Kết quả chênh lệch Stress − Calm và kiểm tra độ nhạy ngưỡng được trình bày trong các bảng regime và threshold-difference.</w:t>
      </w:r>
    </w:p>
    <w:p>
      <w:pPr>
        <w:spacing w:line="360" w:lineRule="auto" w:after="0"/>
        <w:jc w:val="both"/>
      </w:pPr>
      <w:r>
        <w:rPr>
          <w:rFonts w:ascii="Times New Roman" w:hAnsi="Times New Roman" w:eastAsia="Times New Roman"/>
          <w:sz w:val="26"/>
        </w:rPr>
        <w:t>Kết quả định lượng. Với ngưỡng VIX = 30, dữ liệu có 1.839 quan sát Calm và 151 quan sát Stress ở chân trời h = 0. Trong 186 kiểm định chênh lệch Stress − Calm, 13 kiểm định có p &lt; 0,05 trước điều chỉnh; không kiểm định nào còn ý nghĩa sau BH-FDR. Khi thay ngưỡng Stress sang 25 hoặc 35, trong 108 kiểm định độ nhạy chỉ có một kiểm định đạt ý nghĩa danh nghĩa và không có kiểm định nào còn ý nghĩa sau FDR. Như vậy, chưa có bằng chứng thống kê vững cho thấy hệ số khác nhau theo trạng thái với các quy tắc phân loại hiện tại.</w:t>
      </w:r>
    </w:p>
    <w:p>
      <w:pPr>
        <w:spacing w:line="360" w:lineRule="auto" w:after="0"/>
        <w:jc w:val="both"/>
      </w:pPr>
      <w:r>
        <w:rPr>
          <w:rFonts w:ascii="Times New Roman" w:hAnsi="Times New Roman" w:eastAsia="Times New Roman"/>
          <w:sz w:val="26"/>
        </w:rPr>
        <w:t>Ý nghĩa kinh tế. Về lý thuyết, trong Stress, tâm lý né tránh rủi ro, nhu cầu tiền mặt và áp lực thanh khoản có thể khiến nhà đầu tư giảm tài sản biến động cao, làm liên hệ với VIX hoặc USD mạnh hơn. Tuy nhiên, cơ chế đó không bắt buộc phải xuất hiện trong mọi sự kiện căng thẳng; một cú sốc có thể đã được phản ánh vào giá trước khi trạng thái Stress được ghi nhận, hoặc các yếu tố riêng của crypto có thể lấn át. Quan trọng hơn, số quan sát Stress chỉ bằng một phần nhỏ số quan sát Calm. Nhóm Stress nhỏ dẫn đến sai số chuẩn lớn hơn và khoảng tin cậy rộng hơn, khiến kiểm định khó phát hiện khác biệt ngay cả khi một chênh lệch kinh tế có tồn tại.</w:t>
      </w:r>
    </w:p>
    <w:p>
      <w:pPr>
        <w:spacing w:line="360" w:lineRule="auto" w:after="0"/>
        <w:jc w:val="both"/>
      </w:pPr>
      <w:r>
        <w:rPr>
          <w:rFonts w:ascii="Times New Roman" w:hAnsi="Times New Roman" w:eastAsia="Times New Roman"/>
          <w:sz w:val="26"/>
        </w:rPr>
        <w:t>Đối chiếu nghiên cứu trước. Gaies et al. (2024) và Hsu et al. (2024) cho thấy đặc tính phòng ngừa và đa dạng hóa của crypto có thể thay đổi theo phân vị hoặc điểm gãy cấu trúc. Kết quả hiện tại khác ở chỗ không tìm thấy bằng chứng khác biệt Calm–Stress đủ vững sau FDR; điều này có thể xuất phát từ cách định nghĩa Stress bằng một ngưỡng VIX đơn, sự mất cân đối mẫu, hoặc việc trạng thái thị trường không được phản ánh đầy đủ chỉ bằng VIX.</w:t>
      </w:r>
    </w:p>
    <w:p>
      <w:pPr>
        <w:spacing w:line="360" w:lineRule="auto" w:after="0"/>
        <w:jc w:val="both"/>
      </w:pPr>
      <w:r>
        <w:rPr>
          <w:rFonts w:ascii="Times New Roman" w:hAnsi="Times New Roman" w:eastAsia="Times New Roman"/>
          <w:sz w:val="26"/>
        </w:rPr>
        <w:t>Kết luận trả lời RQ4 và độ tin cậy. Nghiên cứu chưa xác nhận được khác biệt có hệ thống giữa Calm và Stress. Đây không phải bằng chứng rằng hai trạng thái phản ứng giống nhau; kết luận đúng hơn là dữ liệu và cách phân loại hiện tại chưa cung cấp bằng chứng đủ chính xác để phân biệt chúng. Độ tin cậy phụ thuộc vào ngưỡng VIX, cách dùng phiên vĩ mô trước đó, mất cân đối cỡ mẫu và việc hiệu chỉnh nhiều kiểm định.</w:t>
      </w:r>
    </w:p>
    <w:p>
      <w:pPr>
        <w:pStyle w:val="Heading2"/>
        <w:spacing w:line="360" w:lineRule="auto" w:after="0"/>
        <w:jc w:val="left"/>
      </w:pPr>
      <w:r>
        <w:rPr>
          <w:rFonts w:ascii="Times New Roman" w:hAnsi="Times New Roman" w:eastAsia="Times New Roman"/>
          <w:b/>
          <w:sz w:val="26"/>
        </w:rPr>
        <w:t>5.1.5. RQ5 – Giá trị dự báo bổ sung của dữ liệu vĩ mô</w:t>
      </w:r>
    </w:p>
    <w:p>
      <w:pPr>
        <w:spacing w:line="360" w:lineRule="auto" w:after="0"/>
        <w:jc w:val="both"/>
      </w:pPr>
      <w:r>
        <w:rPr>
          <w:rFonts w:ascii="Times New Roman" w:hAnsi="Times New Roman" w:eastAsia="Times New Roman"/>
          <w:sz w:val="26"/>
        </w:rPr>
        <w:t>Mục đích kiểm định. RQ5 kiểm tra liệu việc thêm VIX, DXY và US2Y vào bộ đặc trưng lịch sử crypto có cải thiện dự báo ngoài mẫu trị tuyệt đối lợi suất log ngày tiếp theo hay không. Các mô hình Crypto-only được so sánh với Crypto + Macro bằng MAE và RMSE trên 365 ngày của năm 2025; benchmark Historical30 dự báo dựa trên trung bình lịch sử 30 ngày. Chênh lệch MAE được đánh giá bằng block bootstrap với khối 7 ngày và 2.000 lần lặp để giữ lại một phần phụ thuộc theo thời gian.</w:t>
      </w:r>
    </w:p>
    <w:p>
      <w:pPr>
        <w:spacing w:line="360" w:lineRule="auto" w:after="0"/>
        <w:jc w:val="both"/>
      </w:pPr>
      <w:r>
        <w:rPr>
          <w:rFonts w:ascii="Times New Roman" w:hAnsi="Times New Roman" w:eastAsia="Times New Roman"/>
          <w:sz w:val="26"/>
        </w:rPr>
        <w:t>Kết quả định lượng. Với BTC, Historical30 có MAE = 1,1204, thấp hơn Elastic Net Crypto-only (1,1309) và Crypto + Macro (1,1643). Với RMSE, Elastic Net Crypto-only đạt 1,4930, tốt hơn phiên bản có macro (1,5143) và benchmark Historical30 (1,5288). Khi thêm macro vào Elastic Net cho BTC, mức giảm MAE là −0,0334, khoảng tin cậy bootstrap 95% [−0,0597; −0,0068], tức hiệu quả theo MAE xấu đi một cách có ý nghĩa thống kê theo định nghĩa chênh lệch trong bảng kết quả. Với ETH, Elastic Net Crypto + Macro có MAE = 1,9938, thấp hơn một chút so với Crypto-only (2,0019); XGBoost Crypto-only có RMSE thấp nhất, 2,7875. Tuy nhiên, các khoảng tin cậy bootstrap của chênh lệch MAE khi thêm macro cho ETH đều chứa 0, nên chưa có bằng chứng thống kê rõ rằng macro đem lại lợi ích tăng thêm. XGBoost Crypto-only cho BTC có cải thiện MAE so với Historical30 với khoảng tin cậy không chứa 0, nhưng điều đó không đồng nghĩa với lợi ích riêng của biến macro.</w:t>
      </w:r>
    </w:p>
    <w:p>
      <w:pPr>
        <w:spacing w:line="360" w:lineRule="auto" w:after="0"/>
        <w:jc w:val="both"/>
      </w:pPr>
      <w:r>
        <w:rPr>
          <w:rFonts w:ascii="Times New Roman" w:hAnsi="Times New Roman" w:eastAsia="Times New Roman"/>
          <w:sz w:val="26"/>
        </w:rPr>
        <w:t>Ý nghĩa kinh tế. Một biến vĩ mô có thể có liên hệ kinh tế hoặc thống kê với lợi suất nhưng không cải thiện dự báo, bởi mối liên hệ có thể đã được phản ánh trong giá crypto, trùng lặp thông tin với các biến trễ, biến động theo thời gian hoặc quá yếu so với nhiễu trong dự báo ngày tiếp theo. Feature importance cũng chỉ cho biết mức đóng góp tương đối trong một mô hình cụ thể; nó không thay thế phép so sánh ngoài mẫu giữa hai bộ đặc trưng. Kết quả phụ thuộc vào cả tài sản, thuật toán và thước đo: mô hình tốt hơn theo MAE không nhất thiết tốt hơn theo RMSE, vốn nhạy hơn với sai số lớn.</w:t>
      </w:r>
    </w:p>
    <w:p>
      <w:pPr>
        <w:spacing w:line="360" w:lineRule="auto" w:after="0"/>
        <w:jc w:val="both"/>
      </w:pPr>
      <w:r>
        <w:rPr>
          <w:rFonts w:ascii="Times New Roman" w:hAnsi="Times New Roman" w:eastAsia="Times New Roman"/>
          <w:sz w:val="26"/>
        </w:rPr>
        <w:t>Đối chiếu nghiên cứu trước. Kết quả phù hợp với cảnh báo của Yae và Tian (2022) rằng biến có ý nghĩa trong mẫu không nhất thiết giữ được khả năng dự báo ngoài mẫu. Đồng thời, Lawuobahsumo, Algieri và Leccadito (2024) cho thấy biến vĩ mô có thể cải thiện dự báo rủi ro ở một số thước đo/đuôi phân phối; điều đó không mâu thuẫn trực tiếp với kết quả hiện tại vì nghiên cứu này dự báo trị tuyệt đối lợi suất ngày kế tiếp trên một giai đoạn kiểm tra cụ thể, chứ không phải mọi thước đo rủi ro hoặc mọi chế độ thị trường.</w:t>
      </w:r>
    </w:p>
    <w:p>
      <w:pPr>
        <w:spacing w:line="360" w:lineRule="auto" w:after="0"/>
        <w:jc w:val="both"/>
      </w:pPr>
      <w:r>
        <w:rPr>
          <w:rFonts w:ascii="Times New Roman" w:hAnsi="Times New Roman" w:eastAsia="Times New Roman"/>
          <w:sz w:val="26"/>
        </w:rPr>
        <w:t>Kết luận trả lời RQ5 và độ tin cậy. Chưa có bằng chứng rằng các biến vĩ mô cải thiện một cách nhất quán dự báo ngoài mẫu cho cả BTC và ETH. Lợi ích nhỏ ở một số cấu hình ETH không đạt ý nghĩa thống kê theo bootstrap; với BTC, thêm macro vào Elastic Net còn làm MAE xấu đi có ý nghĩa. Kết luận này chỉ áp dụng cho mục tiêu, mô hình, bộ đặc trưng và năm kiểm tra 2025 hiện tại; không chứng minh macro vô ích cho dự báo biến động nhiều ngày, rủi ro đuôi hoặc các giai đoạn khác.</w:t>
      </w:r>
    </w:p>
    <w:p>
      <w:pPr>
        <w:pStyle w:val="Heading1"/>
        <w:spacing w:line="360" w:lineRule="auto" w:after="0"/>
        <w:jc w:val="left"/>
      </w:pPr>
      <w:r>
        <w:rPr>
          <w:rFonts w:ascii="Times New Roman" w:hAnsi="Times New Roman" w:eastAsia="Times New Roman"/>
          <w:b/>
          <w:sz w:val="26"/>
        </w:rPr>
        <w:t>5.2. Integrated Discussion – Thảo luận tổng hợp</w:t>
      </w:r>
    </w:p>
    <w:p>
      <w:pPr>
        <w:spacing w:line="360" w:lineRule="auto" w:after="0"/>
        <w:jc w:val="both"/>
      </w:pPr>
      <w:r>
        <w:rPr>
          <w:rFonts w:ascii="Times New Roman" w:hAnsi="Times New Roman" w:eastAsia="Times New Roman"/>
          <w:sz w:val="26"/>
        </w:rPr>
        <w:t>Khi đặt năm câu hỏi cạnh nhau, một bức tranh nhất quán xuất hiện: điều kiện tài chính toàn cầu có liên hệ với lợi suất BTC/ETH, nhưng bằng chứng về tính bền vững của liên hệ theo thời gian, trạng thái thị trường và giá trị dự báo tăng thêm yếu hơn. RQ1 cho thấy VIX và DXY có hệ số âm cùng ngày còn có ý nghĩa sau BH-FDR, trong khi US2Y chưa cho bằng chứng đủ mạnh. RQ2 cho thấy phản ứng ban đầu rõ hơn phản ứng ở các chân trời sau; những hệ số rời rạc về sau không đủ xác lập một đường truyền dẫn kéo dài. RQ3 và RQ4 không tìm thấy khác biệt Pre/Post-2020 hoặc Stress–Calm nào còn ý nghĩa sau điều chỉnh FDR. RQ5 cho thấy thông tin vĩ mô không cải thiện dự báo ngoài mẫu một cách ổn định.</w:t>
      </w:r>
    </w:p>
    <w:p>
      <w:pPr>
        <w:spacing w:line="360" w:lineRule="auto" w:after="0"/>
        <w:jc w:val="both"/>
      </w:pPr>
      <w:r>
        <w:rPr>
          <w:rFonts w:ascii="Times New Roman" w:hAnsi="Times New Roman" w:eastAsia="Times New Roman"/>
          <w:sz w:val="26"/>
        </w:rPr>
        <w:t>Không có mâu thuẫn logic khi quan sát được liên hệ Macro–Crypto nhưng chưa xác nhận khác biệt giữa các giai đoạn hoặc trạng thái. RQ1 kiểm định liệu một hệ số có khác 0 trong toàn mẫu; RQ3 và RQ4 kiểm định một giả thuyết khó hơn—liệu hai hệ số có khác nhau đủ lớn so với sai số ước lượng hay không. Một liên hệ âm có thể tồn tại ở cả hai nhóm, trong khi chênh lệch giữa chúng nhỏ hoặc ước lượng thiếu chính xác. Sau khi thực hiện nhiều kiểm định, BH-FDR còn làm ngưỡng bằng chứng nghiêm ngặt hơn. Do đó, “chưa phát hiện khác biệt” nên được hiểu là chưa đủ bằng chứng để xác nhận tính phi tuyến theo các phân nhóm hiện tại, không phải chứng minh thị trường hoàn toàn tuyến tính hay hai trạng thái giống hệt nhau.</w:t>
      </w:r>
    </w:p>
    <w:p>
      <w:pPr>
        <w:spacing w:line="360" w:lineRule="auto" w:after="0"/>
        <w:jc w:val="both"/>
      </w:pPr>
      <w:r>
        <w:rPr>
          <w:rFonts w:ascii="Times New Roman" w:hAnsi="Times New Roman" w:eastAsia="Times New Roman"/>
          <w:sz w:val="26"/>
        </w:rPr>
        <w:t>Tương tự, ý nghĩa giải thích không tự động tạo ra giá trị dự báo. Hệ số LP mô tả mối liên hệ có điều kiện ở một chân trời; một mô hình dự báo phải tạo ra sai số nhỏ hơn trên dữ liệu chưa dùng huấn luyện. Nếu tác động vĩ mô ngắn hạn, không ổn định hoặc đã được phản ánh trong các biến crypto trễ, biến macro có thể có ý nghĩa kinh tế nhưng không cung cấp nhiều thông tin mới tại thời điểm dự báo. Thêm biến cũng có thể làm tăng phương sai ước lượng hoặc khiến mô hình khớp quá mức. Vì vậy, kết quả kinh tế lượng và ML trả lời hai câu hỏi khác nhau và cần được trình bày bổ sung, không dùng kết quả của phương pháp này để thay thế kết quả của phương pháp kia.</w:t>
      </w:r>
    </w:p>
    <w:p>
      <w:pPr>
        <w:spacing w:line="360" w:lineRule="auto" w:after="0"/>
        <w:jc w:val="both"/>
      </w:pPr>
      <w:r>
        <w:rPr>
          <w:rFonts w:ascii="Times New Roman" w:hAnsi="Times New Roman" w:eastAsia="Times New Roman"/>
          <w:sz w:val="26"/>
        </w:rPr>
        <w:t>So với Literature Review, nghiên cứu phù hợp với các kết quả nhấn mạnh vai trò của bất ổn tài chính (Gaies et al., 2024; Colombage et al., 2025), sự thay đổi theo thời gian/cấu trúc (Hsu et al., 2024; Karau, 2023) và khoảng cách giữa giải thích trong mẫu với dự báo ngoài mẫu (Yae &amp; Tian, 2022). Khác biệt chính là bằng chứng hiện tại tập trung vào BTC và ETH, dùng bộ ba VIX–DXY–US2Y, đồng thời đặt kết quả LP/VAR, kiểm định Pre/Post và Calm/Stress, cùng đánh giá ML trên cùng một khung nghiên cứu. Đóng góp không nằm ở tuyên bố rằng một phương pháp riêng lẻ hoàn toàn mới, mà ở cách đối chiếu có kỷ luật giữa mối liên hệ, độ ổn định của mối liên hệ và lợi ích dự báo thực tế trong mẫu 2018–2025.</w:t>
      </w:r>
    </w:p>
    <w:p>
      <w:pPr>
        <w:pStyle w:val="Heading1"/>
        <w:spacing w:line="360" w:lineRule="auto" w:after="0"/>
        <w:jc w:val="left"/>
      </w:pPr>
      <w:r>
        <w:rPr>
          <w:rFonts w:ascii="Times New Roman" w:hAnsi="Times New Roman" w:eastAsia="Times New Roman"/>
          <w:b/>
          <w:sz w:val="26"/>
        </w:rPr>
        <w:t>5.3. Research Contributions – Đóng góp nghiên cứu</w:t>
      </w:r>
    </w:p>
    <w:p>
      <w:pPr>
        <w:spacing w:line="360" w:lineRule="auto" w:after="0"/>
        <w:jc w:val="both"/>
      </w:pPr>
      <w:r>
        <w:rPr>
          <w:rFonts w:ascii="Times New Roman" w:hAnsi="Times New Roman" w:eastAsia="Times New Roman"/>
          <w:sz w:val="26"/>
        </w:rPr>
        <w:t>Đóng góp bằng chứng thực nghiệm. Nghiên cứu cung cấp bằng chứng cho giai đoạn 2018–2025 rằng thay đổi VIX và DXY có liên hệ âm cùng ngày với lợi suất BTC/ETH, trong khi bằng chứng cùng ngày về US2Y yếu hơn. Đồng thời, nghiên cứu ghi nhận rằng khác biệt Pre/Post-2020 và Calm/Stress chưa vượt qua điều chỉnh FDR, nên không khẳng định một thay đổi cấu trúc hay khác biệt chế độ đã được xác nhận.</w:t>
      </w:r>
    </w:p>
    <w:p>
      <w:pPr>
        <w:spacing w:line="360" w:lineRule="auto" w:after="0"/>
        <w:jc w:val="both"/>
      </w:pPr>
      <w:r>
        <w:rPr>
          <w:rFonts w:ascii="Times New Roman" w:hAnsi="Times New Roman" w:eastAsia="Times New Roman"/>
          <w:sz w:val="26"/>
        </w:rPr>
        <w:t>Đóng góp phương pháp. Nghiên cứu kết hợp LP để ước lượng hệ số theo từng chân trời, VAR/IRF để mô tả phản ứng động trong một hệ thống, kiểm định chênh lệch theo giai đoạn/trạng thái, điều chỉnh BH-FDR cho nhiều giả thuyết, và đánh giá ML ngoài mẫu bằng MAE/RMSE cùng block bootstrap. Việc dùng các phương pháp này không được xem là tự thân hoàn toàn mới; giá trị nằm ở việc đối chiếu các câu hỏi khác nhau và công khai giới hạn của từng cách tiếp cận.</w:t>
      </w:r>
    </w:p>
    <w:p>
      <w:pPr>
        <w:spacing w:line="360" w:lineRule="auto" w:after="0"/>
        <w:jc w:val="both"/>
      </w:pPr>
      <w:r>
        <w:rPr>
          <w:rFonts w:ascii="Times New Roman" w:hAnsi="Times New Roman" w:eastAsia="Times New Roman"/>
          <w:sz w:val="26"/>
        </w:rPr>
        <w:t>Đóng góp về cách tiếp cận. Nghiên cứu phân biệt rõ ba vấn đề thường bị gộp chung: (i) có tồn tại mối liên hệ thống kê hay không; (ii) mối liên hệ đó có ổn định qua giai đoạn và trạng thái hay không; và (iii) biến giải thích có làm dự báo ngoài mẫu tốt hơn hay không. Sự phân biệt này giúp tránh suy luận quá mức từ hệ số có ý nghĩa hoặc từ thứ hạng feature importance. Tính mới tương đối của đóng góp cần được đánh giá trong phạm vi các nghiên cứu đã tổng hợp; không nên tuyên bố ưu thế hoặc tính mới tuyệt đối khi chưa có đối chiếu đầy đủ với toàn bộ tài liệu liên quan.</w:t>
      </w:r>
    </w:p>
    <w:p>
      <w:pPr>
        <w:pStyle w:val="Heading1"/>
        <w:spacing w:line="360" w:lineRule="auto" w:after="0"/>
        <w:jc w:val="left"/>
      </w:pPr>
      <w:r>
        <w:rPr>
          <w:rFonts w:ascii="Times New Roman" w:hAnsi="Times New Roman" w:eastAsia="Times New Roman"/>
          <w:b/>
          <w:sz w:val="26"/>
        </w:rPr>
        <w:t>5.4. Practical Implications – Hàm ý thực tiễn</w:t>
      </w:r>
    </w:p>
    <w:p>
      <w:pPr>
        <w:spacing w:line="360" w:lineRule="auto" w:after="0"/>
        <w:jc w:val="both"/>
      </w:pPr>
      <w:r>
        <w:rPr>
          <w:rFonts w:ascii="Times New Roman" w:hAnsi="Times New Roman" w:eastAsia="Times New Roman"/>
          <w:sz w:val="26"/>
        </w:rPr>
        <w:t>Đối với nhà đầu tư. VIX và DXY có thể được theo dõi như chỉ báo bối cảnh rủi ro bên ngoài khi đánh giá BTC/ETH. VIX tăng hoặc USD mạnh lên có thể đi kèm môi trường bất lợi cho tài sản crypto trong dữ liệu nghiên cứu. Tuy nhiên, hai chỉ báo này không nên được sử dụng đơn lẻ như tín hiệu mua/bán: kết quả cùng ngày không xác định nhân quả, không đảm bảo phản ứng ở ngày kế tiếp và không cung cấp một quy tắc giao dịch đã được kiểm định về lợi nhuận sau phí.</w:t>
      </w:r>
    </w:p>
    <w:p>
      <w:pPr>
        <w:spacing w:line="360" w:lineRule="auto" w:after="0"/>
        <w:jc w:val="both"/>
      </w:pPr>
      <w:r>
        <w:rPr>
          <w:rFonts w:ascii="Times New Roman" w:hAnsi="Times New Roman" w:eastAsia="Times New Roman"/>
          <w:sz w:val="26"/>
        </w:rPr>
        <w:t>Đối với quản trị danh mục. Thông tin vĩ mô có thể hỗ trợ xây dựng kịch bản—chẳng hạn kiểm tra mức độ nhạy cảm của danh mục trước một đợt tăng VIX hoặc USD—và bổ sung cho phân tích biến động, thanh khoản, tương quan và mức sụt giảm của chính tài sản crypto. Do nghiên cứu chưa xác nhận được chênh lệch Stress–Calm một cách vững chắc, nhà quản trị không nên giả định rằng hệ số sẽ tăng theo một tỷ lệ cố định khi VIX vượt ngưỡng 30. Cần dùng nhiều kịch bản, khoảng tin cậy và kiểm tra sức chịu đựng thay vì dựa vào một hệ số điểm duy nhất.</w:t>
      </w:r>
    </w:p>
    <w:p>
      <w:pPr>
        <w:spacing w:line="360" w:lineRule="auto" w:after="0"/>
        <w:jc w:val="both"/>
      </w:pPr>
      <w:r>
        <w:rPr>
          <w:rFonts w:ascii="Times New Roman" w:hAnsi="Times New Roman" w:eastAsia="Times New Roman"/>
          <w:sz w:val="26"/>
        </w:rPr>
        <w:t>Đối với phát triển mô hình dự báo. Chỉ nên thêm biến macro khi đánh giá ngoài mẫu cho thấy cải thiện đủ lớn và ổn định. Việc lựa chọn mô hình nên dựa trên MAE/RMSE, khoảng tin cậy của chênh lệch sai số, kiểm tra theo nhiều giai đoạn và đối chiếu với benchmark đơn giản. Feature importance có thể giúp hiểu mô hình nhưng không phải bằng chứng về giá trị gia tăng. Trước khi triển khai thực tế, cần kiểm tra thêm thời điểm công bố dữ liệu, độ trễ khả dụng, chi phí vận hành và hiệu quả trong các giai đoạn thị trường khác nhau.</w:t>
      </w:r>
    </w:p>
    <w:p>
      <w:pPr>
        <w:pStyle w:val="Heading1"/>
        <w:spacing w:line="360" w:lineRule="auto" w:after="0"/>
        <w:jc w:val="left"/>
      </w:pPr>
      <w:r>
        <w:rPr>
          <w:rFonts w:ascii="Times New Roman" w:hAnsi="Times New Roman" w:eastAsia="Times New Roman"/>
          <w:b/>
          <w:sz w:val="26"/>
        </w:rPr>
        <w:t>5.5. Research Limitations – Giới hạn nghiên cứu</w:t>
      </w:r>
    </w:p>
    <w:p>
      <w:pPr>
        <w:spacing w:line="360" w:lineRule="auto" w:after="0"/>
        <w:jc w:val="both"/>
      </w:pPr>
      <w:r>
        <w:rPr>
          <w:rFonts w:ascii="Times New Roman" w:hAnsi="Times New Roman" w:eastAsia="Times New Roman"/>
          <w:sz w:val="26"/>
        </w:rPr>
        <w:t>Thứ nhất, phạm vi dữ liệu giới hạn trong giai đoạn 2018–2025 và tập trung vào BTC, ETH cùng ba biến VIX, DXY và US2Y. Kết quả không tự động khái quát cho altcoin khác, stablecoin, các tài sản token hóa hoặc các chỉ tiêu tài chính toàn cầu chưa được đưa vào mô hình. Khoảng thời gian cũng chứa các chế độ thị trường rất khác nhau, nên kết quả trung bình có thể che lấp phản ứng theo sự kiện.</w:t>
      </w:r>
    </w:p>
    <w:p>
      <w:pPr>
        <w:spacing w:line="360" w:lineRule="auto" w:after="0"/>
        <w:jc w:val="both"/>
      </w:pPr>
      <w:r>
        <w:rPr>
          <w:rFonts w:ascii="Times New Roman" w:hAnsi="Times New Roman" w:eastAsia="Times New Roman"/>
          <w:sz w:val="26"/>
        </w:rPr>
        <w:t>Thứ hai, crypto giao dịch liên tục trong khi nhiều biến vĩ mô và thị trường truyền thống tuân theo lịch giao dịch, ngày nghỉ và giờ đóng cửa riêng. Một quan sát theo ngày lịch không nhất thiết phản ánh đúng thời điểm thông tin được công bố hoặc được thị trường crypto tiếp nhận. Dù bộ dữ liệu có áp dụng độ trễ cho biến vĩ mô trong pipeline dự báo, việc đồng bộ hóa chính xác theo múi giờ, thời điểm công bố và thời điểm có thể giao dịch vẫn là một giới hạn cần ghi nhận.</w:t>
      </w:r>
    </w:p>
    <w:p>
      <w:pPr>
        <w:spacing w:line="360" w:lineRule="auto" w:after="0"/>
        <w:jc w:val="both"/>
      </w:pPr>
      <w:r>
        <w:rPr>
          <w:rFonts w:ascii="Times New Roman" w:hAnsi="Times New Roman" w:eastAsia="Times New Roman"/>
          <w:sz w:val="26"/>
        </w:rPr>
        <w:t>Thứ ba, LP và VAR/IRF trong nghiên cứu chủ yếu nhận diện mối liên hệ động có điều kiện. US2Y là lợi suất quan sát được chứ không phải chuỗi bất ngờ chính sách tiền tệ ngoại sinh; VIX và DXY cũng có thể phản ánh nhiều cú sốc đồng thời. IRF Cholesky phụ thuộc thứ tự biến và chẩn đoán tự tương quan phần dư VAR không hoàn toàn nhất quán giữa các độ trễ kiểm định. Vì vậy, kết quả không đủ để khẳng định quan hệ nhân quả của chính sách tiền tệ hoặc các cú sốc vĩ mô cụ thể.</w:t>
      </w:r>
    </w:p>
    <w:p>
      <w:pPr>
        <w:spacing w:line="360" w:lineRule="auto" w:after="0"/>
        <w:jc w:val="both"/>
      </w:pPr>
      <w:r>
        <w:rPr>
          <w:rFonts w:ascii="Times New Roman" w:hAnsi="Times New Roman" w:eastAsia="Times New Roman"/>
          <w:sz w:val="26"/>
        </w:rPr>
        <w:t>Thứ tư, mốc chia năm 2020 là lựa chọn phân kỳ mẫu có tính quy ước, không nhất thiết trùng với điểm gãy cấu trúc thực tế. Phân loại Stress dựa trên ngưỡng VIX 30 (và kiểm tra ngưỡng 25/35) có thể chưa bao quát đầy đủ các dạng căng thẳng khác nhau. Số quan sát Stress ít hơn nhiều so với Calm, còn mẫu Pre-2020 ngắn hơn Post-2020; cả hai yếu tố làm giảm độ chính xác và khả năng phát hiện chênh lệch. Việc kiểm định nhiều hệ số/chân trời cũng khiến điều chỉnh FDR trở nên cần thiết nhưng làm giảm số kết quả được xem là đủ bằng chứng.</w:t>
      </w:r>
    </w:p>
    <w:p>
      <w:pPr>
        <w:spacing w:line="360" w:lineRule="auto" w:after="0"/>
        <w:jc w:val="both"/>
      </w:pPr>
      <w:r>
        <w:rPr>
          <w:rFonts w:ascii="Times New Roman" w:hAnsi="Times New Roman" w:eastAsia="Times New Roman"/>
          <w:sz w:val="26"/>
        </w:rPr>
        <w:t>Thứ năm, bộ đặc trưng ML có giới hạn và tập kiểm tra ngoài mẫu chỉ gồm năm 2025. Mục tiêu là trị tuyệt đối lợi suất log ngày tiếp theo, chỉ là đại diện cho độ lớn biến động ngày, không bao quát đầy đủ rủi ro đuôi, VaR, Expected Shortfall hoặc biến động thực hiện nhiều ngày. Kết quả có thể nhạy với thuật toán, siêu tham số, đặc trưng trễ và cách chia mẫu; một năm kiểm tra chưa đủ để kết luận khả năng dự báo trong mọi điều kiện thị trường. Do đó, kết luận về giá trị dự báo tăng thêm của macro cần được giới hạn trong thiết kế hiện tại.</w:t>
      </w:r>
    </w:p>
    <w:p>
      <w:pPr>
        <w:pStyle w:val="Heading1"/>
        <w:spacing w:line="360" w:lineRule="auto" w:after="0"/>
        <w:jc w:val="left"/>
      </w:pPr>
      <w:r>
        <w:rPr>
          <w:rFonts w:ascii="Times New Roman" w:hAnsi="Times New Roman" w:eastAsia="Times New Roman"/>
          <w:b/>
          <w:sz w:val="26"/>
        </w:rPr>
        <w:t>5.6. Future Research Directions – Hướng nghiên cứu tiếp theo</w:t>
      </w:r>
    </w:p>
    <w:p>
      <w:pPr>
        <w:spacing w:line="360" w:lineRule="auto" w:after="0"/>
        <w:jc w:val="both"/>
      </w:pPr>
      <w:r>
        <w:rPr>
          <w:rFonts w:ascii="Times New Roman" w:hAnsi="Times New Roman" w:eastAsia="Times New Roman"/>
          <w:sz w:val="26"/>
        </w:rPr>
        <w:t>Nghiên cứu tiếp theo có thể mở rộng mẫu sang các tài sản crypto khác và bổ sung những chỉ tiêu tài chính như lợi suất cổ phiếu, chênh lệch tín dụng, điều kiện thanh khoản, kỳ vọng lạm phát hoặc chỉ số điều kiện tài chính tổng hợp. Việc mở rộng cần có cơ sở lý thuyết và tránh đưa quá nhiều biến tương quan cao vào cùng một mô hình mà không kiểm tra tính ổn định.</w:t>
      </w:r>
    </w:p>
    <w:p>
      <w:pPr>
        <w:spacing w:line="360" w:lineRule="auto" w:after="0"/>
        <w:jc w:val="both"/>
      </w:pPr>
      <w:r>
        <w:rPr>
          <w:rFonts w:ascii="Times New Roman" w:hAnsi="Times New Roman" w:eastAsia="Times New Roman"/>
          <w:sz w:val="26"/>
        </w:rPr>
        <w:t>Thứ hai, cần kiểm tra độ vững với các ngưỡng Stress và mốc chia giai đoạn thay thế; có thể dùng điểm gãy cấu trúc được xác định từ dữ liệu thay vì chỉ cố định năm 2020. Các phân tích nên báo cáo rõ số quan sát từng nhóm, khoảng tin cậy và kết quả sau điều chỉnh nhiều giả thuyết. Các cách phân loại trạng thái khác, như biến động crypto, thanh khoản hoặc chỉ số căng thẳng tổng hợp, có thể giúp kiểm tra liệu VIX đơn lẻ có phản ánh đầy đủ trạng thái thị trường hay không.</w:t>
      </w:r>
    </w:p>
    <w:p>
      <w:pPr>
        <w:spacing w:line="360" w:lineRule="auto" w:after="0"/>
        <w:jc w:val="both"/>
      </w:pPr>
      <w:r>
        <w:rPr>
          <w:rFonts w:ascii="Times New Roman" w:hAnsi="Times New Roman" w:eastAsia="Times New Roman"/>
          <w:sz w:val="26"/>
        </w:rPr>
        <w:t>Thứ ba, để tiến gần hơn đến diễn giải nhân quả, có thể sử dụng các thước đo bất ngờ chính sách Fed từ dữ liệu tần suất cao quanh thời điểm công bố, các thiết kế nhận diện cú sốc phù hợp hoặc các mô hình phi tuyến và phân vị. Với VAR/IRF, cần so sánh nhiều thứ tự Cholesky, nhận diện thay thế hoặc phương pháp không đòi hỏi thứ tự đệ quy mạnh; với LP, nên báo cáo dải tin cậy đồng thời cho toàn bộ quỹ đạo phản ứng khi phù hợp.</w:t>
      </w:r>
    </w:p>
    <w:p>
      <w:pPr>
        <w:spacing w:line="360" w:lineRule="auto" w:after="0"/>
        <w:jc w:val="both"/>
      </w:pPr>
      <w:r>
        <w:rPr>
          <w:rFonts w:ascii="Times New Roman" w:hAnsi="Times New Roman" w:eastAsia="Times New Roman"/>
          <w:sz w:val="26"/>
        </w:rPr>
        <w:t>Cuối cùng, đánh giá dự báo nên lặp lại trên nhiều giai đoạn ngoài mẫu, bao gồm cả thời kỳ bình thường và căng thẳng, đồng thời sử dụng các mục tiêu rủi ro bổ sung như realized volatility, VaR và Expected Shortfall. Cần giữ nguyên nguyên tắc không rò rỉ dữ liệu tương lai, kiểm tra độ trễ công bố thực tế, so sánh với benchmark đơn giản và đánh giá cả độ chính xác thống kê lẫn lợi ích kinh tế sau chi phí.</w:t>
      </w:r>
    </w:p>
    <w:p>
      <w:pPr>
        <w:pStyle w:val="Heading1"/>
        <w:spacing w:line="360" w:lineRule="auto" w:after="0"/>
        <w:jc w:val="left"/>
      </w:pPr>
      <w:r>
        <w:rPr>
          <w:rFonts w:ascii="Times New Roman" w:hAnsi="Times New Roman" w:eastAsia="Times New Roman"/>
          <w:b/>
          <w:sz w:val="26"/>
        </w:rPr>
        <w:t>5.7. Conclusion – Kết luận tổng thể</w:t>
      </w:r>
    </w:p>
    <w:p>
      <w:pPr>
        <w:spacing w:line="360" w:lineRule="auto" w:after="0"/>
        <w:jc w:val="both"/>
      </w:pPr>
      <w:r>
        <w:t>Nghiên cứu đánh giá mối liên hệ giữa điều kiện tài chính toàn cầu và lợi suất BTC/ETH giai đoạn 2018–2025, đồng thời xem xét độ ổn định của các mối liên hệ và giá trị dự báo ngoài mẫu.</w:t>
      </w:r>
    </w:p>
    <w:p>
      <w:pPr>
        <w:spacing w:line="360" w:lineRule="auto" w:after="0"/>
        <w:jc w:val="both"/>
      </w:pPr>
      <w:r>
        <w:t>Kết quả cho thấy VIX và DXY có liên hệ âm cùng ngày với lợi suất BTC/ETH sau điều chỉnh BH-FDR, trong khi bằng chứng về US2Y chưa đủ mạnh. Phản ứng ở các chân trời sau không ổn định; khác biệt Pre/Post-2020 và Calm–Stress chưa còn ý nghĩa sau FDR. Việc bổ sung biến vĩ mô cũng chưa cải thiện dự báo ngoài mẫu một cách nhất quán theo MAE/RMSE và block bootstrap.</w:t>
      </w:r>
    </w:p>
    <w:p>
      <w:pPr>
        <w:spacing w:line="360" w:lineRule="auto" w:after="0"/>
        <w:jc w:val="both"/>
      </w:pPr>
      <w:r>
        <w:t>Đóng góp chính của nghiên cứu là đặt bằng chứng về mối liên hệ, tính ổn định và hiệu quả dự báo trong cùng một khung đánh giá, qua đó tránh đồng nhất ý nghĩa thống kê với khả năng dự báo thực tế. VIX và DXY hữu ích như thông tin bối cảnh để theo dõi rủi ro và xây dựng kịch bản, nhưng không nên được xem là tín hiệu giao dịch độc lập. Mọi ứng dụng dự báo cần tiếp tục được kiểm chứng ngoài mẫu và qua nhiều điều kiện thị trường.</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auto"/>
      <w:jc w:val="left"/>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jc w:val="left"/>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