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DD67B"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ĐỀ TÀI: ĐIỀU KIỆN TÀI CHÍNH TOÀN CẦU VÀ THỊ TRƯỜNG TIỀN MÃ HÓA: TRUYỀN DẪN PHI TUYẾN CỦA CÁC CÚ SỐC TIỀN TỆ, ĐỒNG USD VÀ RỦI RO ĐẾN BITCOIN VÀ ETHEREUM</w:t>
      </w:r>
    </w:p>
    <w:p w14:paraId="720A1DF9"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Cơ sở lý thuyết và tổng quan các nghiên cứu trước</w:t>
      </w:r>
    </w:p>
    <w:p w14:paraId="092CCBE0"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 Cơ sở lý thuyết</w:t>
      </w:r>
    </w:p>
    <w:p w14:paraId="169611F1"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1.1.1. Kênh truyền dẫn của chính sách tiền tệ đến thị trường tiền mã hóa</w:t>
      </w:r>
    </w:p>
    <w:p w14:paraId="163AFB8F"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Chính sách tiền tệ của Cục Dự trữ Liên bang Mỹ (Fed) có thể ảnh hưởng đến thị trường tiền mã hóa thông qua lãi suất, thanh khoản và mức độ chấp nhận rủi ro của nhà đầu tư. Khi Fed thắt chặt chính sách tiền tệ bất ngờ, lợi suất của các tài sản an toàn có thể tăng, chi phí vốn trở nên cao hơn và điều kiện tài chính có thể thắt chặt. Trong bối cảnh đó, nhà đầu tư có thể giảm tỷ trọng các tài sản có mức độ rủi ro cao, bao gồm Bitcoin (BTC) và Ethereum (ETH).</w:t>
      </w:r>
    </w:p>
    <w:p w14:paraId="6FD1487B"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Tuy nhiên, phản ứng của tiền mã hóa không nhất thiết giống nhau trong mọi giai đoạn. Bitcoin từng được xem là phương tiện lưu trữ giá trị độc lập với hệ thống tiền tệ truyền thống, nhưng cũng có thể vận động như một tài sản đầu cơ có độ nhạy cao với thị trường tài chính. Vì vậy, dấu và cường độ tác động của cú sốc tiền tệ cần được kiểm định bằng dữ liệu thay vì giả định trước.</w:t>
      </w:r>
    </w:p>
    <w:p w14:paraId="4AD684FA"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Karau (2023) cho thấy mối quan hệ giữa chính sách tiền tệ Mỹ và Bitcoin đã thay đổi theo thời gian: sau năm 2020, Bitcoin có xu hướng giảm giá sau các cú sốc thắt chặt tiền tệ, trong khi ở một số giai đoạn trước đó, phản ứng có thể mang dấu ngược lại.</w:t>
      </w:r>
    </w:p>
    <w:p w14:paraId="22B8530C"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Điều này đặt nền tảng cho việc kiểm tra liệu phản ứng của BTC và ETH có thay đổi giữa các giai đoạn thị trường hay không.</w:t>
      </w:r>
    </w:p>
    <w:p w14:paraId="1456C03D"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1.1.2. Điều kiện tài chính toàn cầu và kênh truyền dẫn qua tài sản tài chính</w:t>
      </w:r>
    </w:p>
    <w:p w14:paraId="5F19A592"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Điều kiện tài chính toàn cầu phản ánh mức độ dễ dàng tiếp cận vốn, mức độ bất ổn và thái độ chấp nhận rủi ro trên thị trường tài chính. Trong nghiên cứu này, các biến đại diện có thể bao gồm chỉ số biến động VIX, chỉ số đồng USD DXY, lợi suất trái phiếu Chính phủ Mỹ và chỉ số thị trường chứng khoán Mỹ.</w:t>
      </w:r>
    </w:p>
    <w:p w14:paraId="75F1C1D4"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VIX thường được sử dụng để đại diện cho kỳ vọng biến động của thị trường chứng khoán Mỹ. Khi VIX tăng, tâm lý bất ổn có thể gia tăng và nhà đầu tư có thể giảm mức độ tiếp xúc với tài sản rủi ro. DXY phản ánh sức mạnh tương đối của đồng USD; sự tăng giá của USD có thể đi kèm với việc điều kiện tài chính quốc tế trở nên chặt chẽ hơn. Trong khi đó, lợi suất trái phiếu Mỹ phản ánh một phần diễn biến lãi suất và kỳ vọng chính sách tiền tệ.</w:t>
      </w:r>
    </w:p>
    <w:p w14:paraId="56A5E284"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Tuy nhiên, không nên mặc định rằng mọi biến động của VIX, DXY hay lợi suất trái phiếu đều là cú sốc ngoại sinh. Chẳng hạn, VIX tăng có thể xuất phát từ cú sốc thị trường chứng khoán, còn lợi suất tăng có thể phản ánh cả thay đổi chính sách tiền tệ lẫn thông tin kinh tế tích cực. Do đó, cần phân biệt giữa mối quan hệ thống kê, khả năng dự báo và tác động nhân quả của một cú sốc được nhận diện.</w:t>
      </w:r>
    </w:p>
    <w:p w14:paraId="34EFCF93"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1.1.3. Tính phi tuyến và sự khác biệt theo trạng thái thị trường</w:t>
      </w:r>
    </w:p>
    <w:p w14:paraId="6EFB0A46"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mô hình tuyến tính thông thường giả định rằng một biến giải thích có tác động trung bình tương đối ổn định đến biến phụ thuộc. Tuy nhiên, thị trường tiền mã hóa có thể phản ứng khác nhau tùy theo mức độ căng thẳng tài chính, xu hướng tăng giảm của thị trường và thời điểm xảy ra cú sốc.</w:t>
      </w:r>
    </w:p>
    <w:p w14:paraId="2FC61166"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mức tăng VIX có thể gây ra phản ứng tương đối nhỏ khi thị trường ổn định, nhưng gây ra phản ứng mạnh hơn khi nhà đầu tư đồng thời đối mặt với thanh khoản suy giảm và áp lực bán tháo. Tương tự, mối quan hệ giữa kỳ vọng lạm phát và Bitcoin có thể khác nhau giữa thị trường tăng và thị trường giảm.</w:t>
      </w:r>
    </w:p>
    <w:p w14:paraId="5C96342B"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Gaies và cộng sự (2024) cho thấy vai trò phòng ngừa rủi ro của Bitcoin và Ethereum phụ thuộc vào trạng thái thị trường; Bitcoin không phải lúc nào cũng phòng ngừa hiệu quả bất ổn tài chính, trong khi Ethereum dễ bị tổn thương hơn trước bất ổn tài chính ở các phân vị thị trường giảm.</w:t>
      </w:r>
    </w:p>
    <w:p w14:paraId="095C45B8"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Hsu, Cheng và Yang (2024) cũng nhấn mạnh rằng vai trò đa dạng hóa và phòng ngừa rủi ro của tiền mã hóa có thể thay đổi theo các điểm gãy cấu trúc của thị trường.</w:t>
      </w:r>
    </w:p>
    <w:p w14:paraId="33EB4D21"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Vì vậy, ngoài việc ước lượng tác động trung bình, nghiên cứu cần xem xét tác động tại các chân trời thời gian khác nhau, giữa các giai đoạn trước và sau năm 2020, cũng như giữa trạng thái thị trường bình thường và căng thẳng.</w:t>
      </w:r>
    </w:p>
    <w:p w14:paraId="64FAC80C"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1.1.4. Khả năng dự báo rủi ro và giá trị gia tăng của biến vĩ mô</w:t>
      </w:r>
    </w:p>
    <w:p w14:paraId="03D96521"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Một biến có tương quan với lợi suất tiền mã hóa chưa chắc cải thiện được dự báo ngoài mẫu. Khả năng dự báo chỉ được xác lập khi mô hình sử dụng thông tin có sẵn tại thời điểm dự báo và đạt kết quả tốt hơn các mô hình chuẩn trên dữ liệu chưa được dùng để ước lượng.</w:t>
      </w:r>
    </w:p>
    <w:p w14:paraId="460964A0"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Yae và Tian (2022) cho thấy một số biến dự báo có ý nghĩa trong mẫu không duy trì được khả năng dự báo ngoài mẫu; sự thay đổi trong tương quan với thị trường chứng khoán là một trong những tín hiệu dự báo có kết quả nổi bật trong nghiên cứu của họ.</w:t>
      </w:r>
    </w:p>
    <w:p w14:paraId="71662C75"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Trong khi đó, Lawuobahsumo, Algieri và Leccadito (2024) cho thấy các biến như VIX, chênh lệch lợi suất trái phiếu và kỳ vọng lạm phát có thể cải thiện dự báo rủi ro ở hai đuôi phân phối lợi suất tiền mã hóa.</w:t>
      </w:r>
    </w:p>
    <w:p w14:paraId="77C478A4"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Điều này gợi ý rằng nghiên cứu cần tách biệt hai mục tiêu: giải thích cơ chế truyền dẫn của cú sốc tài chính và đánh giá giá trị dự báo của các biến vĩ mô. Mô hình kinh tế lượng phục vụ mục tiêu thứ nhất không nhất thiết là mô hình dự báo tốt nhất, và mô hình học máy dự báo tốt cũng không tự động chứng minh quan hệ nhân quả.</w:t>
      </w:r>
    </w:p>
    <w:p w14:paraId="47551A66"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Tổng quan bảy nghiên cứu thực nghiệm</w:t>
      </w:r>
    </w:p>
    <w:p w14:paraId="26E28769"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1.2.1. Nghiên cứu 1: Căng thẳng tài chính toàn cầu và thị trường tiền mã hóa của Colombage, Jayawardhana và Oatley (2025)</w:t>
      </w:r>
    </w:p>
    <w:p w14:paraId="5B717E24"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Nghiên cứu Global Financial Stress and Its Transmission to Cryptocurrency Markets: A Cointegration and Causality Approach phân tích mối liên hệ giữa căng thẳng tài chính toàn cầu và thị trường tiền mã hóa trong giai đoạn từ ngày 1/1/2017 đến 31/1/2025. Nhóm tác giả sử dụng chỉ số thị trường tiền mã hóa BGCI, chỉ số căng thẳng tài chính OFR-FSI, các chỉ số biến động như VIX, VVIX, VSTOXX, VVSTOXX và MOVE, cùng thị trường cổ phiếu, trái phiếu và hàng hóa. Các phương pháp được sử dụng bao gồm kiểm định nghiệm đơn vị, đồng liên kết, ARDL bounds, kiểm định nhân quả Toda–Yamamoto và mô hình Markov Switching hai trạng thái.</w:t>
      </w:r>
    </w:p>
    <w:p w14:paraId="2C01115B"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Điểm phù hợp với đề tài là nghiên cứu xem xét cả mối quan hệ dài hạn, quan hệ nhân quả theo nghĩa dự báo và sự thay đổi giữa các trạng thái thị trường. Đây là cơ sở để xây dựng hệ thống biến đại diện cho điều kiện tài chính toàn cầu, đồng thời cân nhắc các kiểm định động và mô hình phân biệt trạng thái bình thường với trạng thái căng thẳng.</w:t>
      </w:r>
    </w:p>
    <w:p w14:paraId="4003A793"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Tuy nhiên, nghiên cứu hiện tại tập trung riêng vào BTC và ETH, đồng thời quan tâm đến phản ứng trước những cú sốc cụ thể như chính sách tiền tệ, biến động USD và rủi ro thị trường. Do đó, kết quả ở cấp độ toàn thị trường tiền mã hóa không thể được mặc nhiên xem là kết quả riêng của BTC hoặc ETH.</w:t>
      </w:r>
    </w:p>
    <w:p w14:paraId="6740923C"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Ý nghĩa đối với đề tài: cung cấp cơ sở cho việc kiểm tra mối quan hệ giữa điều kiện tài chính toàn cầu và tiền mã hóa, cũng như khả năng tồn tại các chế độ thị trường khác nhau.</w:t>
      </w:r>
    </w:p>
    <w:p w14:paraId="3336EDDA"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1.2.2. Nghiên cứu 2: Phản ứng của Bitcoin và Ethereum trước lạm phát và bất ổn tài chính của Gaies và cộng sự (2024)</w:t>
      </w:r>
    </w:p>
    <w:p w14:paraId="5D4F86CE"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Nghiên cứu On the Resilience of Cryptocurrencies: A Quantile-Frequency Analysis of Bitcoin and Ethereum Reactions in Times of Inflation and Financial Instability xem xét </w:t>
      </w:r>
      <w:r>
        <w:rPr>
          <w:rFonts w:ascii="Times New Roman" w:eastAsia="Times New Roman" w:hAnsi="Times New Roman" w:cs="Times New Roman"/>
          <w:sz w:val="24"/>
          <w:szCs w:val="24"/>
        </w:rPr>
        <w:lastRenderedPageBreak/>
        <w:t>phản ứng của Bitcoin và Ethereum trước kỳ vọng lạm phát và bất ổn tài chính. Nghiên cứu sử dụng dữ liệu ngày từ 16/4/2018 đến 14/4/2023, với tỷ lệ lạm phát hòa vốn kỳ hạn 5 năm và chỉ số căng thẳng tài chính Mỹ làm các biến đại diện; phương pháp bao gồm phân tích tương quan wavelet và tương quan theo phân vị.</w:t>
      </w:r>
    </w:p>
    <w:p w14:paraId="4EF37908"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cho thấy trong các giai đoạn biến động mạnh, việc điều chỉnh danh mục của nhà đầu tư theo kỳ vọng lạm phát có thể khiến giá Bitcoin tăng trong cả ngắn hạn và dài hạn. Tuy nhiên, khả năng phòng ngừa lạm phát của Bitcoin suy giảm trong thị trường giảm và Bitcoin không thể hiện là công cụ phòng ngừa đáng tin cậy trước bất ổn tài chính. Mối quan hệ giữa Ethereum và kỳ vọng lạm phát phụ thuộc vào bối cảnh; mức độ dễ tổn thương của Ethereum trước bất ổn tài chính tăng lên trong thị trường giảm.</w:t>
      </w:r>
    </w:p>
    <w:p w14:paraId="6D770CD5"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Nghiên cứu này cho thấy việc chỉ ước lượng tác động trung bình có thể bỏ qua khác biệt giữa các trạng thái phân phối. Đối với đề tài hiện tại, kết quả là căn cứ để kiểm định xem cú sốc VIX, DXY hoặc lợi suất trái phiếu có tác động mạnh hơn khi thị trường tiền mã hóa đang trong trạng thái bất lợi hay không.</w:t>
      </w:r>
    </w:p>
    <w:p w14:paraId="0B343AEC"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DC526CE"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1.2.3. Nghiên cứu 3: Đặc tính đa dạng hóa, phòng vệ và tài sản trú ẩn của Hsu, Cheng và Yang (2024)</w:t>
      </w:r>
    </w:p>
    <w:p w14:paraId="3F6E9A15"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Nghiên cứu Diversification, Hedging, and Safe-Haven Characteristics of Cryptocurrencies: A Structural Change Approach đánh giá đặc tính đa dạng hóa danh mục, phòng ngừa rủi ro và tài sản trú ẩn an toàn của Bitcoin và Ethereum so với vàng, DXY, các chỉ số chứng khoán, dầu và chỉ số hàng hóa. Nghiên cứu sử dụng dữ liệu từ 7/8/2015 đến 15/8/2022, kết hợp mô hình DCC–ARMA–GARCH với kiểm định CUSUM để xác định sự thay đổi cấu trúc và ước lượng tương quan có điều kiện theo từng giai đoạn.</w:t>
      </w:r>
    </w:p>
    <w:p w14:paraId="1119EB2D"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cho thấy việc đánh giá đặc tính của tiền mã hóa trên toàn bộ mẫu hoặc chỉ dựa vào một số sự kiện lớn có thể không phản ánh đầy đủ sự thay đổi theo thời gian. Bitcoin và Ethereum có thể đảm nhận những vai trò khác nhau đối với từng loại tài sản trong các giai đoạn được phân tách bởi điểm gãy cấu trúc. Nhóm tác giả cho rằng việc đưa sự thay đổi cấu trúc vào mô hình giúp mô tả tốt hơn mối quan hệ giữa các tài sản trong điều kiện biến động cao.</w:t>
      </w:r>
    </w:p>
    <w:p w14:paraId="2A5FE521"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Đối với đề tài hiện tại, nghiên cứu này cung cấp cơ sở cho việc kiểm tra sự thay đổi của hệ số truyền dẫn theo thời gian. Tuy nhiên, điểm gãy cấu trúc không nhất thiết trùng với năm 2020. Vì vậy, nghiên cứu có thể sử dụng giai đoạn trước và sau năm 2020 làm </w:t>
      </w:r>
      <w:r>
        <w:rPr>
          <w:rFonts w:ascii="Times New Roman" w:eastAsia="Times New Roman" w:hAnsi="Times New Roman" w:cs="Times New Roman"/>
          <w:sz w:val="24"/>
          <w:szCs w:val="24"/>
        </w:rPr>
        <w:lastRenderedPageBreak/>
        <w:t>kiểm định theo giả thuyết, đồng thời cân nhắc kiểm định điểm gãy từ dữ liệu để tránh áp đặt một mốc thời gian không phù hợp.</w:t>
      </w:r>
    </w:p>
    <w:p w14:paraId="3BE5FD47"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1.2.4. Nghiên cứu 4: Chính sách tiền tệ và Bitcoin của Karau (2023)</w:t>
      </w:r>
    </w:p>
    <w:p w14:paraId="013261EA"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Nghiên cứu Monetary Policy and Bitcoin phân tích tác động của chính sách tiền tệ Mỹ đến Bitcoin bằng hai cách tiếp cận. Thứ nhất, tác giả sử dụng dữ liệu tần suất cao quanh thời điểm công bố của FOMC để nghiên cứu phản ứng tức thời của giá Bitcoin. Thứ hai, tác giả sử dụng mô hình SVAR kết hợp công cụ bên ngoài để nhận diện cú sốc chính sách tiền tệ và phân tích phản ứng động trong thời gian dài hơn.</w:t>
      </w:r>
    </w:p>
    <w:p w14:paraId="04E30EAD"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cho thấy Bitcoin không phản ứng tức thời một cách có hệ thống với thông báo chính sách tiền tệ trong giai đoạn đầu của thị trường, nhưng bắt đầu phản ứng rõ hơn từ cuối năm 2020. Trong giai đoạn sau năm 2020, cú sốc thắt chặt tiền tệ của Mỹ làm giá Bitcoin giảm và tác động có thể kéo dài nhiều tháng. Ngược lại, trong một số giai đoạn trước đó, giá Bitcoin lại tăng sau cú sốc thắt chặt. Tác giả liên hệ sự khác biệt này với thay đổi trong vai trò của Bitcoin và nhu cầu chuyển giá trị xuyên biên giới, đặc biệt ở một số nền kinh tế Đông Á.</w:t>
      </w:r>
    </w:p>
    <w:p w14:paraId="15B6ACF6"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Đây là nghiên cứu nền tảng trực tiếp cho câu hỏi về tác động của cú sốc tiền tệ và sự thay đổi của cơ chế truyền dẫn theo thời gian. Nghiên cứu hiện tại có thể kế thừa cách sử dụng cú sốc chính sách tiền tệ được nhận diện, đồng thời mở rộng phân tích sang Ethereum và các biến điều kiện tài chính toàn cầu như VIX, DXY và lợi suất trái phiếu.</w:t>
      </w:r>
    </w:p>
    <w:p w14:paraId="1C161B7D"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1.2.5. Nghiên cứu 5: Chính sách tiền tệ, tài sản số và hoạt động DeFi của Kyriazis và cộng sự (2023)</w:t>
      </w:r>
    </w:p>
    <w:p w14:paraId="172954DF"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Nghiên cứu Monetary Policy, Digital Assets, and DeFi Activity phân tích tác động của những thay đổi bất ngờ trong chính sách tiền tệ Mỹ đến lợi suất tài sản số và hoạt động tài chính phi tập trung (DeFi). Nhóm tác giả sử dụng hồi quy nghiên cứu sự kiện tại các ngày công bố FOMC trong giai đoạn 1/1/2018–21/12/2022, kết hợp dữ liệu giá tần suất cao để phân tích biến động quanh thời điểm công bố thông báo và biên bản FOMC.</w:t>
      </w:r>
    </w:p>
    <w:p w14:paraId="27A9BF7D"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cho thấy những bất ngờ theo hướng tăng lãi suất có tác động âm và có ý nghĩa thống kê đến lợi suất BTC và ETH. Thông báo FOMC làm tăng biến động lợi suất của các tài sản số được nghiên cứu, trong đó tác động của thông báo chính sách mạnh hơn tác động của việc công bố biên bản. Hiệu ứng biến động cũng mạnh hơn sau tháng 12/2021, khi Fed chuyển sang chính sách chống lạm phát.</w:t>
      </w:r>
    </w:p>
    <w:p w14:paraId="3623D509"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Nghiên cứu này hỗ trợ việc sử dụng dữ liệu cú sốc chính sách tiền tệ thay vì chỉ sử dụng mức lãi suất danh nghĩa. Đây là khác biệt quan trọng vì thay đổi lãi suất được thị </w:t>
      </w:r>
      <w:r>
        <w:rPr>
          <w:rFonts w:ascii="Times New Roman" w:eastAsia="Times New Roman" w:hAnsi="Times New Roman" w:cs="Times New Roman"/>
          <w:sz w:val="24"/>
          <w:szCs w:val="24"/>
        </w:rPr>
        <w:lastRenderedPageBreak/>
        <w:t>trường dự đoán trước không mang cùng hàm lượng thông tin với một quyết định bất ngờ. Nghiên cứu hiện tại có thể kế thừa phương pháp nghiên cứu sự kiện để đánh giá phản ứng của BTC và ETH, đồng thời bổ sung phân tích động và so sánh trạng thái thị trường.</w:t>
      </w:r>
    </w:p>
    <w:p w14:paraId="17B07DB5"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1.2.6. Nghiên cứu 6: Biến vĩ mô và dự báo rủi ro cực đoan của Lawuobahsumo, Algieri và Leccadito (2024)</w:t>
      </w:r>
    </w:p>
    <w:p w14:paraId="68D34E83"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Nghiên cứu Forecasting Cryptocurrencies Returns: Do Macroeconomic and Financial Variables Improve Tail Expectation Predictions? xem xét liệu các biến kinh tế vĩ mô và tài chính có cải thiện khả năng dự báo rủi ro ở hai đuôi phân phối lợi suất tiền mã hóa hay không. Nghiên cứu xem xét BTC, ETH, XRP, DOGE và LTC, dự báo Value-at-Risk (VaR) và Expected Shortfall (ES) cho một và năm bước thời gian phía trước. Phương pháp chính là mạng nơ-ron hồi quy phân vị tổng hợp đơn điệu (MCQRNN), được so sánh với mô phỏng lịch sử và mô hình ARMA(1,1)-GARCH(1,1).</w:t>
      </w:r>
    </w:p>
    <w:p w14:paraId="0D77D58E"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cho thấy các mô hình MCQRNN được bổ sung biến vĩ mô và tài chính nhìn chung có khả năng dự báo VaR và ES tốt hơn các mô hình chuẩn. Đặc biệt, VIX, chênh lệch lợi suất trái phiếu và kỳ vọng lạm phát giúp cải thiện dự báo các mức lợi suất cực đoan. Tuy nhiên, mức độ vượt trội không hoàn toàn đồng nhất giữa các đồng tiền mã hóa, chân trời dự báo và vị thế giao dịch.</w:t>
      </w:r>
    </w:p>
    <w:p w14:paraId="49485385"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Nghiên cứu này cung cấp cơ sở để xây dựng phần dự báo rủi ro trong đề tài hiện tại. Thay vì chỉ dự báo lợi suất trung bình, nghiên cứu có thể kiểm tra xem các biến điều kiện tài chính toàn cầu có cải thiện dự báo biến động hoặc rủi ro đuôi của BTC và ETH hay không. Đồng thời, kết quả nghiên cứu nhấn mạnh rằng hiệu quả dự báo cần được đánh giá ngoài mẫu và so sánh với các mô hình chuẩn.</w:t>
      </w:r>
    </w:p>
    <w:p w14:paraId="76B8F239"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1.2.7. Nghiên cứu 7: Dự báo ngoài mẫu lợi suất tiền mã hóa của Yae và Tian (2022)</w:t>
      </w:r>
    </w:p>
    <w:p w14:paraId="30317DE7"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Nghiên cứu Out-of-Sample Forecasting of Cryptocurrency Returns: A Comprehensive Comparison of Predictors and Algorithms so sánh nhiều biến dự báo và thuật toán dự báo lợi suất của Bitcoin, Ethereum và Ripple. Trọng tâm của nghiên cứu là đánh giá ngoài mẫu nhằm hạn chế nguy cơ kết luận quá lạc quan từ kết quả ước lượng trong mẫu.</w:t>
      </w:r>
    </w:p>
    <w:p w14:paraId="75B7D0DF"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cho thấy một số biến thường được xem là hữu ích trong mẫu, chẳng hạn sự chú ý của nhà đầu tư và khối lượng giao dịch, không duy trì được khả năng dự báo có ý nghĩa ngoài mẫu. Sự thay đổi trong tương quan với thị trường chứng khoán là một trong những biến dự báo có kết quả nổi bật; các phương pháp dựa trên cơ chế kinh tế cũng cho kết quả tốt hơn nhiều thuật toán dự báo phổ dụng trong thiết kế nghiên cứu của nhóm tác giả.</w:t>
      </w:r>
    </w:p>
    <w:p w14:paraId="27D4DF91"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Nghiên cứu này nhấn mạnh rằng lựa chọn mô hình không nên chỉ dựa trên độ phù hợp với dữ liệu lịch sử. Đối với đề tài hiện tại, mô hình dự báo cần có mô hình chuẩn, quy trình chia dữ liệu theo thời gian và đánh giá trên tập dữ liệu chưa sử dụng trong quá trình huấn luyện. Mô hình học máy chỉ nên được giữ lại nếu chứng minh được giá trị gia tăng so với mô hình đơn giản hơn.</w:t>
      </w:r>
    </w:p>
    <w:p w14:paraId="2C918E86"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 Tổng hợp nghiên cứu trước và khoảng trống nghiên cứu</w:t>
      </w:r>
    </w:p>
    <w:p w14:paraId="67158424" w14:textId="77777777" w:rsidR="00801403" w:rsidRDefault="00000000">
      <w:pPr>
        <w:spacing w:before="20" w:after="20" w:line="360" w:lineRule="auto"/>
        <w:ind w:right="36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Từ bảy nghiên cứu trên, có thể rút ra ba hướng nghiên cứu chính. Thứ nhất, nhóm nghiên cứu về chính sách tiền tệ như Karau (2023) và Kyriazis và cộng sự (2023) cho thấy các thông tin chính sách tiền tệ bất ngờ có thể ảnh hưởng đến lợi suất và biến động của BTC, ETH. Thứ hai, các nghiên cứu của Colombage và cộng sự (2025), Gaies và cộng sự (2024), Hsu và cộng sự (2024) cho thấy mối quan hệ giữa tiền mã hóa và điều kiện tài chính có thể thay đổi theo trạng thái thị trường, thời gian và điểm gãy cấu trúc. Thứ ba, Lawuobahsumo và cộng sự (2024) cùng Yae và Tian (2022) nhấn mạnh vai trò của các biến tài chính trong dự báo rủi ro, đồng thời cho thấy cần kiểm định nghiêm túc khả năng dự báo ngoài mẫu.</w:t>
      </w:r>
    </w:p>
    <w:p w14:paraId="3F7B54A3" w14:textId="77777777" w:rsidR="00801403" w:rsidRDefault="00000000">
      <w:pPr>
        <w:spacing w:before="20" w:after="20" w:line="360" w:lineRule="auto"/>
        <w:ind w:right="36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nghiên cứu này tạo cơ sở lý thuyết và thực nghiệm cho đề tài, nhưng vẫn có những hướng cần được kết nối trong một khuôn khổ thống nhất:</w:t>
      </w:r>
    </w:p>
    <w:p w14:paraId="796AB8D8" w14:textId="77777777" w:rsidR="00801403" w:rsidRDefault="00000000">
      <w:pPr>
        <w:numPr>
          <w:ilvl w:val="0"/>
          <w:numId w:val="2"/>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Tách biệt các nguồn cú sốc: phân tích riêng cú sốc chính sách tiền tệ, USD và rủi ro thị trường trong một thiết kế thống nhất.</w:t>
      </w:r>
    </w:p>
    <w:p w14:paraId="0E422930" w14:textId="77777777" w:rsidR="00801403" w:rsidRDefault="00000000">
      <w:pPr>
        <w:numPr>
          <w:ilvl w:val="0"/>
          <w:numId w:val="2"/>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Tính động: cần đánh giá không chỉ phản ứng tức thời mà còn cả độ trễ, cường độ và mức độ kéo dài của phản ứng BTC và ETH.</w:t>
      </w:r>
    </w:p>
    <w:p w14:paraId="1B32CD83" w14:textId="77777777" w:rsidR="00801403" w:rsidRDefault="00000000">
      <w:pPr>
        <w:numPr>
          <w:ilvl w:val="0"/>
          <w:numId w:val="2"/>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Tính phi tuyến và thay đổi theo thời gian: cần kiểm định liệu tác động có khác nhau giữa giai đoạn trước và sau năm 2020, hoặc giữa trạng thái thị trường bình thường và căng thẳng.</w:t>
      </w:r>
    </w:p>
    <w:p w14:paraId="0702E17A" w14:textId="77777777" w:rsidR="00801403" w:rsidRDefault="00000000">
      <w:pPr>
        <w:numPr>
          <w:ilvl w:val="0"/>
          <w:numId w:val="2"/>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Giá trị dự báo: cần đánh giá liệu các biến tài chính toàn cầu có cải thiện dự báo rủi ro của BTC và ETH ngoài mẫu so với mô hình chuẩn hay không.</w:t>
      </w:r>
    </w:p>
    <w:p w14:paraId="1490B25B" w14:textId="77777777" w:rsidR="00801403" w:rsidRDefault="00000000">
      <w:pPr>
        <w:spacing w:before="20" w:after="20" w:line="360" w:lineRule="auto"/>
        <w:ind w:right="360"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Từ đó, nghiên cứu hướng đến việc kết hợp phân tích truyền dẫn cú sốc bằng kinh tế lượng với phân tích trạng thái thị trường và một lớp dự báo rủi ro ngoài mẫu. Điểm đóng góp dự kiến không nằm ở việc sử dụng nhiều mô hình nhất có thể, mà ở việc xây dựng một thiết kế nhất quán để giải thích cú sốc nào tác động, tác động kéo dài bao lâu, tác động thay đổi trong điều kiện nào và liệu thông tin vĩ mô có làm dự báo rủi ro tốt hơn hay không.</w:t>
      </w:r>
    </w:p>
    <w:p w14:paraId="0E1706E8"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Câu hỏi nghiên cứu RQ1–RQ5 và giả thuyết</w:t>
      </w:r>
    </w:p>
    <w:p w14:paraId="2470AE73"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2.1. RQ1. Tác động của cú sốc chính sách tiền tệ</w:t>
      </w:r>
    </w:p>
    <w:p w14:paraId="11E14626"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Câu hỏi nghiên cứu (RQ1): Các cú sốc chính sách tiền tệ của Cục Dự trữ Liên bang Mỹ (Fed) có ảnh hưởng đến lợi suất và biến động của Bitcoin và Ethereum hay không?</w:t>
      </w:r>
    </w:p>
    <w:p w14:paraId="0A4CE784"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 thuyết H1:</w:t>
      </w:r>
    </w:p>
    <w:p w14:paraId="435A5FE9" w14:textId="77777777" w:rsidR="00801403" w:rsidRDefault="00000000">
      <w:pPr>
        <w:numPr>
          <w:ilvl w:val="0"/>
          <w:numId w:val="1"/>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H1a: Cú sốc thắt chặt chính sách tiền tệ ngoài kỳ vọng có tác động tiêu cực đến lợi suất Bitcoin và Ethereum.</w:t>
      </w:r>
    </w:p>
    <w:p w14:paraId="7D1E46E1" w14:textId="77777777" w:rsidR="00801403" w:rsidRDefault="00000000">
      <w:pPr>
        <w:numPr>
          <w:ilvl w:val="0"/>
          <w:numId w:val="1"/>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H1b: Cú sốc chính sách tiền tệ làm thay đổi mức độ biến động của Bitcoin và Ethereum.</w:t>
      </w:r>
    </w:p>
    <w:p w14:paraId="0D9232C2"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Cơ sở lập luận: Thay đổi bất ngờ trong chính sách tiền tệ có thể làm thay đổi chi phí vốn, điều kiện thanh khoản và khẩu vị rủi ro của nhà đầu tư. Vì vậy, giá và mức độ biến động của tài sản tiền mã hóa có thể phản ứng trước các thông báo chính sách của Fed.</w:t>
      </w:r>
    </w:p>
    <w:p w14:paraId="3CB1EA42"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H1a dự đoán chiều tác động của lợi suất. H1b chỉ dự đoán có sự thay đổi về biến động, chưa khẳng định biến động nhất thiết tăng trong mọi trường hợp.</w:t>
      </w:r>
    </w:p>
    <w:p w14:paraId="1074BF25"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2.2. RQ2. Truyền dẫn của cú sốc USD và rủi ro thị trường</w:t>
      </w:r>
    </w:p>
    <w:p w14:paraId="69D5A7C2"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Câu hỏi nghiên cứu (RQ2): Các cú sốc từ đồng USD và tâm lý rủi ro/biến động thị trường truyền dẫn đến Bitcoin và Ethereum như thế nào, và tác động của chúng kéo dài trong bao lâu?</w:t>
      </w:r>
    </w:p>
    <w:p w14:paraId="4491BBF5"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 thuyết H2:</w:t>
      </w:r>
    </w:p>
    <w:p w14:paraId="25E470DC" w14:textId="77777777" w:rsidR="00801403" w:rsidRDefault="00000000">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H2a: Cú sốc làm đồng USD mạnh lên có tác động tiêu cực đến lợi suất Bitcoin và Ethereum.</w:t>
      </w:r>
    </w:p>
    <w:p w14:paraId="47CA6D01" w14:textId="77777777" w:rsidR="00801403" w:rsidRDefault="00000000">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H2b: Cú sốc gia tăng rủi ro thị trường có tác động tiêu cực đến lợi suất Bitcoin và Ethereum.</w:t>
      </w:r>
    </w:p>
    <w:p w14:paraId="3BC4AB56" w14:textId="77777777" w:rsidR="00801403" w:rsidRDefault="00000000">
      <w:pPr>
        <w:numPr>
          <w:ilvl w:val="0"/>
          <w:numId w:val="3"/>
        </w:numPr>
        <w:spacing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H2c: Phản ứng của Bitcoin và Ethereum trước các cú sốc USD và rủi ro có thể kéo dài qua nhiều chân trời thời gian, với mức độ và thời gian phản ứng khác nhau.</w:t>
      </w:r>
    </w:p>
    <w:p w14:paraId="02EDD245"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Cơ sở lập luận: Sự mạnh lên của USD có thể đi cùng điều kiện tài chính thắt chặt hơn, trong khi VIX tăng thường phản ánh mức độ bất định và nhu cầu giảm nắm giữ tài sản rủi ro. Tuy nhiên, dấu và độ bền của tác động cần được kiểm định thực nghiệm.</w:t>
      </w:r>
    </w:p>
    <w:p w14:paraId="78A8543D"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Đối với câu hỏi này, các chỉ báo trọng tâm là DXY, VIX và lợi suất BTC/ETH. Phân tích phản ứng động có thể sử dụng VAR–IRF và Local Projections (LP).</w:t>
      </w:r>
    </w:p>
    <w:p w14:paraId="6CB4AAAF"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 RQ3. Sự thay đổi về mức độ nhạy cảm trước và sau các giai đoạn institutionalization</w:t>
      </w:r>
    </w:p>
    <w:p w14:paraId="6A04FC86"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Câu hỏi nghiên cứu (RQ3): Mức độ nhạy cảm của Bitcoin và Ethereum trước các điều kiện tài chính toàn cầu có tăng lên sau năm 2020 hoặc sau các giai đoạn gia tăng sự tham gia của nhà đầu tư tổ chức hay không?</w:t>
      </w:r>
    </w:p>
    <w:p w14:paraId="5C5891BF"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 thuyết H3: Mức độ phản ứng của Bitcoin và Ethereum trước các cú sốc tài chính toàn cầu khác biệt có ý nghĩa thống kê giữa các giai đoạn trước và sau năm 2020.</w:t>
      </w:r>
    </w:p>
    <w:p w14:paraId="4CDC29E6"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Cơ sở lập luận: Quá trình phát triển và gia tăng sự tham gia của các tổ chức trên thị trường tiền mã hóa có thể làm mối liên hệ giữa BTC/ETH và hệ thống tài chính truyền thống thay đổi. Tuy nhiên, năm 2020 chỉ là mốc phân chia ban đầu; không thể mặc định mọi thay đổi sau mốc này đều do institutionalization gây ra.</w:t>
      </w:r>
    </w:p>
    <w:p w14:paraId="35402A68"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Để kiểm định chặt chẽ, có thể so sánh phản ứng qua VAR–IRF theo từng giai đoạn hoặc dùng LP với biến tương tác giữa cú sốc và biến giả Post2020. Nếu muốn kết luận rằng độ nhạy tăng, cần kiểm định trực tiếp chiều thay đổi, không chỉ kiểm tra xem hai giai đoạn có khác nhau hay không.</w:t>
      </w:r>
    </w:p>
    <w:p w14:paraId="79A7A70D"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2.4. RQ4. Tính phi tuyến và sự phụ thuộc vào trạng thái thị trường</w:t>
      </w:r>
    </w:p>
    <w:p w14:paraId="2FC0A4AB"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Câu hỏi nghiên cứu (RQ4): Tác động truyền dẫn của các cú sốc tiền tệ, USD và rủi ro có mạnh hơn trong các giai đoạn căng thẳng tài chính hoặc biến động thị trường cao hay không?</w:t>
      </w:r>
    </w:p>
    <w:p w14:paraId="0C7A1335"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Giả thuyết H4: Tác động của các cú sốc tiền tệ, USD và rủi ro lên lợi suất hoặc biến động Bitcoin và Ethereum khác biệt có ý nghĩa thống kê giữa trạng thái thị trường bình thường và trạng thái căng thẳng cao.</w:t>
      </w:r>
    </w:p>
    <w:p w14:paraId="423F9EFD"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Cơ sở lập luận: Trong giai đoạn thị trường căng thẳng, nhà đầu tư có thể phản ứng mạnh hơn trước thông tin về thanh khoản, USD và rủi ro. Do đó, một mô hình chỉ ước lượng tác động trung bình có thể không phản ánh đầy đủ sự khác biệt giữa các trạng thái thị trường.</w:t>
      </w:r>
    </w:p>
    <w:p w14:paraId="1DC3155F"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 thể kiểm định H4 bằng LP có tương tác Shock × Stress, hoặc sử dụng Markov-switching regression hay quantile regression như các phương pháp mở rộng. Nếu giả thuyết tập trung vào việc tác động mạnh hơn, cần xác định trước cách đo mức độ mạnh và kiểm định chiều của chênh lệch.</w:t>
      </w:r>
    </w:p>
    <w:p w14:paraId="60179F99" w14:textId="77777777" w:rsidR="00801403" w:rsidRDefault="00000000">
      <w:pPr>
        <w:spacing w:before="20" w:after="20" w:line="360" w:lineRule="auto"/>
        <w:ind w:right="3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2.5. RQ5. Giá trị dự báo của các biến điều kiện tài chính toàn cầu</w:t>
      </w:r>
    </w:p>
    <w:p w14:paraId="0552925E"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Câu hỏi nghiên cứu (RQ5):</w:t>
      </w:r>
    </w:p>
    <w:p w14:paraId="4BC5D533"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 global financial variables improve out-of-sample forecasts of Bitcoin and Ethereum risk?</w:t>
      </w:r>
    </w:p>
    <w:p w14:paraId="7F90D014"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biến tài chính toàn cầu có cải thiện khả năng dự báo ngoài mẫu rủi ro của Bitcoin và Ethereum hay không?</w:t>
      </w:r>
    </w:p>
    <w:p w14:paraId="718B8533"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Giả thuyết H5: Việc bổ sung các biến điều kiện tài chính toàn cầu giúp cải thiện hiệu quả dự báo rủi ro Bitcoin và Ethereum ngoài mẫu so với mô hình cơ sở chỉ sử dụng thông tin quá khứ của thị trường tiền mã hóa.</w:t>
      </w:r>
    </w:p>
    <w:p w14:paraId="1081F223"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Cơ sở lập luận: Các chỉ báo như VIX, DXY, lợi suất trái phiếu Mỹ và chỉ số căng thẳng tài chính có thể cung cấp thông tin bổ sung về môi trường rủi ro toàn cầu. Các mô hình học máy có khả năng nhận diện quan hệ phi tuyến, nhưng mức cải thiện thực tế cần được xác nhận qua kiểm định ngoài mẫu.</w:t>
      </w:r>
    </w:p>
    <w:p w14:paraId="6432DEE3"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 thể so sánh mô hình kinh tế lượng cơ sở với Elastic Net, XGBoost hoặc LightGBM. Biến mục tiêu nên được xác định trước, chẳng hạn biến động ngày tiếp theo, biến động tuần tiếp theo hoặc trạng thái rủi ro đuôi.</w:t>
      </w:r>
    </w:p>
    <w:p w14:paraId="0E9D90D2"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Định nghĩa các chỉ báo</w:t>
      </w:r>
    </w:p>
    <w:p w14:paraId="4DC98069" w14:textId="77777777" w:rsidR="00801403" w:rsidRDefault="00000000">
      <w:pPr>
        <w:spacing w:before="20" w:after="20" w:line="360" w:lineRule="auto"/>
        <w:ind w:righ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 Biến phụ thuộc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8"/>
        <w:gridCol w:w="1701"/>
        <w:gridCol w:w="5039"/>
        <w:gridCol w:w="867"/>
      </w:tblGrid>
      <w:tr w:rsidR="00801403" w14:paraId="43C3ADA8" w14:textId="77777777">
        <w:trPr>
          <w:trHeight w:val="785"/>
        </w:trPr>
        <w:tc>
          <w:tcPr>
            <w:tcW w:w="1418" w:type="dxa"/>
            <w:tcBorders>
              <w:top w:val="nil"/>
              <w:left w:val="nil"/>
              <w:bottom w:val="nil"/>
              <w:right w:val="nil"/>
            </w:tcBorders>
            <w:tcMar>
              <w:top w:w="100" w:type="dxa"/>
              <w:left w:w="100" w:type="dxa"/>
              <w:bottom w:w="100" w:type="dxa"/>
              <w:right w:w="100" w:type="dxa"/>
            </w:tcMar>
          </w:tcPr>
          <w:p w14:paraId="465017DB"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Biến</w:t>
            </w:r>
          </w:p>
        </w:tc>
        <w:tc>
          <w:tcPr>
            <w:tcW w:w="1701" w:type="dxa"/>
            <w:tcBorders>
              <w:top w:val="nil"/>
              <w:left w:val="nil"/>
              <w:bottom w:val="nil"/>
              <w:right w:val="nil"/>
            </w:tcBorders>
            <w:tcMar>
              <w:top w:w="100" w:type="dxa"/>
              <w:left w:w="100" w:type="dxa"/>
              <w:bottom w:w="100" w:type="dxa"/>
              <w:right w:w="100" w:type="dxa"/>
            </w:tcMar>
          </w:tcPr>
          <w:p w14:paraId="09B012FD"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Ký hiệu</w:t>
            </w:r>
          </w:p>
        </w:tc>
        <w:tc>
          <w:tcPr>
            <w:tcW w:w="5038" w:type="dxa"/>
            <w:tcBorders>
              <w:top w:val="nil"/>
              <w:left w:val="nil"/>
              <w:bottom w:val="nil"/>
              <w:right w:val="nil"/>
            </w:tcBorders>
            <w:tcMar>
              <w:top w:w="100" w:type="dxa"/>
              <w:left w:w="100" w:type="dxa"/>
              <w:bottom w:w="100" w:type="dxa"/>
              <w:right w:w="100" w:type="dxa"/>
            </w:tcMar>
          </w:tcPr>
          <w:p w14:paraId="42D53300"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Định nghĩa và cách đo lường</w:t>
            </w:r>
          </w:p>
        </w:tc>
        <w:tc>
          <w:tcPr>
            <w:tcW w:w="867" w:type="dxa"/>
            <w:tcBorders>
              <w:top w:val="nil"/>
              <w:left w:val="nil"/>
              <w:bottom w:val="nil"/>
              <w:right w:val="nil"/>
            </w:tcBorders>
            <w:tcMar>
              <w:top w:w="100" w:type="dxa"/>
              <w:left w:w="100" w:type="dxa"/>
              <w:bottom w:w="100" w:type="dxa"/>
              <w:right w:w="100" w:type="dxa"/>
            </w:tcMar>
          </w:tcPr>
          <w:p w14:paraId="08125E98"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Tần suất</w:t>
            </w:r>
          </w:p>
        </w:tc>
      </w:tr>
      <w:tr w:rsidR="00801403" w14:paraId="1B91A89C" w14:textId="77777777">
        <w:trPr>
          <w:trHeight w:val="785"/>
        </w:trPr>
        <w:tc>
          <w:tcPr>
            <w:tcW w:w="1418" w:type="dxa"/>
            <w:tcBorders>
              <w:top w:val="nil"/>
              <w:left w:val="nil"/>
              <w:bottom w:val="nil"/>
              <w:right w:val="nil"/>
            </w:tcBorders>
            <w:tcMar>
              <w:top w:w="100" w:type="dxa"/>
              <w:left w:w="100" w:type="dxa"/>
              <w:bottom w:w="100" w:type="dxa"/>
              <w:right w:w="100" w:type="dxa"/>
            </w:tcMar>
          </w:tcPr>
          <w:p w14:paraId="44E9E7F6"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Lợi suất Bitcoin</w:t>
            </w:r>
          </w:p>
        </w:tc>
        <w:tc>
          <w:tcPr>
            <w:tcW w:w="1701" w:type="dxa"/>
            <w:tcBorders>
              <w:top w:val="nil"/>
              <w:left w:val="nil"/>
              <w:bottom w:val="nil"/>
              <w:right w:val="nil"/>
            </w:tcBorders>
            <w:tcMar>
              <w:top w:w="100" w:type="dxa"/>
              <w:left w:w="100" w:type="dxa"/>
              <w:bottom w:w="100" w:type="dxa"/>
              <w:right w:w="100" w:type="dxa"/>
            </w:tcMar>
          </w:tcPr>
          <w:p w14:paraId="5C74B1B7" w14:textId="77777777" w:rsidR="00801403" w:rsidRDefault="00000000">
            <w:pPr>
              <w:spacing w:before="240" w:after="240"/>
              <w:rPr>
                <w:rFonts w:ascii="Times New Roman" w:eastAsia="Times New Roman" w:hAnsi="Times New Roman" w:cs="Times New Roman"/>
                <w:sz w:val="24"/>
                <w:szCs w:val="24"/>
              </w:rPr>
            </w:pPr>
            <m:oMathPara>
              <m:oMath>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r</m:t>
                    </m:r>
                  </m:e>
                  <m:sub>
                    <m:r>
                      <w:rPr>
                        <w:rFonts w:ascii="Times New Roman" w:eastAsia="Times New Roman" w:hAnsi="Times New Roman" w:cs="Times New Roman"/>
                        <w:sz w:val="24"/>
                        <w:szCs w:val="24"/>
                      </w:rPr>
                      <m:t>t</m:t>
                    </m:r>
                  </m:sub>
                  <m:sup>
                    <m:r>
                      <w:rPr>
                        <w:rFonts w:ascii="Times New Roman" w:eastAsia="Times New Roman" w:hAnsi="Times New Roman" w:cs="Times New Roman"/>
                        <w:sz w:val="24"/>
                        <w:szCs w:val="24"/>
                      </w:rPr>
                      <m:t>BTC</m:t>
                    </m:r>
                  </m:sup>
                </m:sSubSup>
              </m:oMath>
            </m:oMathPara>
          </w:p>
        </w:tc>
        <w:tc>
          <w:tcPr>
            <w:tcW w:w="5038" w:type="dxa"/>
            <w:tcBorders>
              <w:top w:val="nil"/>
              <w:left w:val="nil"/>
              <w:bottom w:val="nil"/>
              <w:right w:val="nil"/>
            </w:tcBorders>
            <w:tcMar>
              <w:top w:w="100" w:type="dxa"/>
              <w:left w:w="100" w:type="dxa"/>
              <w:bottom w:w="100" w:type="dxa"/>
              <w:right w:w="100" w:type="dxa"/>
            </w:tcMar>
          </w:tcPr>
          <w:p w14:paraId="03D2A229"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Lợi suất log hằng ngày: </w:t>
            </w:r>
            <m:oMath>
              <m:r>
                <w:rPr>
                  <w:rFonts w:ascii="Times New Roman" w:eastAsia="Times New Roman" w:hAnsi="Times New Roman" w:cs="Times New Roman"/>
                  <w:sz w:val="24"/>
                  <w:szCs w:val="24"/>
                </w:rPr>
                <m:t>100</m:t>
              </m:r>
              <m:box>
                <m:boxPr>
                  <m:opEmu m:val="1"/>
                  <m:ctrlPr>
                    <w:rPr>
                      <w:rFonts w:ascii="Times New Roman" w:eastAsia="Times New Roman" w:hAnsi="Times New Roman" w:cs="Times New Roman"/>
                      <w:sz w:val="24"/>
                      <w:szCs w:val="24"/>
                    </w:rPr>
                  </m:ctrlPr>
                </m:boxPr>
                <m:e>
                  <m:r>
                    <w:rPr>
                      <w:rFonts w:ascii="Times New Roman" w:eastAsia="Times New Roman" w:hAnsi="Times New Roman" w:cs="Times New Roman"/>
                      <w:sz w:val="24"/>
                      <w:szCs w:val="24"/>
                    </w:rPr>
                    <m:t>ln</m:t>
                  </m:r>
                </m:e>
              </m:box>
              <m:r>
                <w:rPr>
                  <w:rFonts w:ascii="Times New Roman" w:eastAsia="Times New Roman" w:hAnsi="Times New Roman" w:cs="Times New Roman"/>
                  <w:sz w:val="24"/>
                  <w:szCs w:val="24"/>
                </w:rPr>
                <m:t>(</m:t>
              </m:r>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sub>
                <m:sup>
                  <m:r>
                    <w:rPr>
                      <w:rFonts w:ascii="Times New Roman" w:eastAsia="Times New Roman" w:hAnsi="Times New Roman" w:cs="Times New Roman"/>
                      <w:sz w:val="24"/>
                      <w:szCs w:val="24"/>
                    </w:rPr>
                    <m:t>BTC</m:t>
                  </m:r>
                </m:sup>
              </m:sSubSup>
              <m:r>
                <w:rPr>
                  <w:rFonts w:ascii="Times New Roman" w:eastAsia="Times New Roman" w:hAnsi="Times New Roman" w:cs="Times New Roman"/>
                  <w:sz w:val="24"/>
                  <w:szCs w:val="24"/>
                </w:rPr>
                <m:t>/</m:t>
              </m:r>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up>
                  <m:r>
                    <w:rPr>
                      <w:rFonts w:ascii="Times New Roman" w:eastAsia="Times New Roman" w:hAnsi="Times New Roman" w:cs="Times New Roman"/>
                      <w:sz w:val="24"/>
                      <w:szCs w:val="24"/>
                    </w:rPr>
                    <m:t>BTC</m:t>
                  </m:r>
                </m:sup>
              </m:sSubSup>
              <m:r>
                <w:rPr>
                  <w:rFonts w:ascii="Times New Roman" w:eastAsia="Times New Roman" w:hAnsi="Times New Roman" w:cs="Times New Roman"/>
                  <w:sz w:val="24"/>
                  <w:szCs w:val="24"/>
                </w:rPr>
                <m:t>)</m:t>
              </m:r>
            </m:oMath>
          </w:p>
        </w:tc>
        <w:tc>
          <w:tcPr>
            <w:tcW w:w="867" w:type="dxa"/>
            <w:tcBorders>
              <w:top w:val="nil"/>
              <w:left w:val="nil"/>
              <w:bottom w:val="nil"/>
              <w:right w:val="nil"/>
            </w:tcBorders>
            <w:tcMar>
              <w:top w:w="100" w:type="dxa"/>
              <w:left w:w="100" w:type="dxa"/>
              <w:bottom w:w="100" w:type="dxa"/>
              <w:right w:w="100" w:type="dxa"/>
            </w:tcMar>
          </w:tcPr>
          <w:p w14:paraId="42A3A8DB"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Hằng ngày</w:t>
            </w:r>
          </w:p>
        </w:tc>
      </w:tr>
      <w:tr w:rsidR="00801403" w14:paraId="7ECC4FFA" w14:textId="77777777">
        <w:trPr>
          <w:trHeight w:val="785"/>
        </w:trPr>
        <w:tc>
          <w:tcPr>
            <w:tcW w:w="1418" w:type="dxa"/>
            <w:tcBorders>
              <w:top w:val="nil"/>
              <w:left w:val="nil"/>
              <w:bottom w:val="nil"/>
              <w:right w:val="nil"/>
            </w:tcBorders>
            <w:tcMar>
              <w:top w:w="100" w:type="dxa"/>
              <w:left w:w="100" w:type="dxa"/>
              <w:bottom w:w="100" w:type="dxa"/>
              <w:right w:w="100" w:type="dxa"/>
            </w:tcMar>
          </w:tcPr>
          <w:p w14:paraId="3DFE345A"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Lợi suất Ethereum</w:t>
            </w:r>
          </w:p>
        </w:tc>
        <w:tc>
          <w:tcPr>
            <w:tcW w:w="1701" w:type="dxa"/>
            <w:tcBorders>
              <w:top w:val="nil"/>
              <w:left w:val="nil"/>
              <w:bottom w:val="nil"/>
              <w:right w:val="nil"/>
            </w:tcBorders>
            <w:tcMar>
              <w:top w:w="100" w:type="dxa"/>
              <w:left w:w="100" w:type="dxa"/>
              <w:bottom w:w="100" w:type="dxa"/>
              <w:right w:w="100" w:type="dxa"/>
            </w:tcMar>
          </w:tcPr>
          <w:p w14:paraId="5C2B25B4" w14:textId="77777777" w:rsidR="00801403" w:rsidRDefault="00000000">
            <w:pPr>
              <w:spacing w:before="240" w:after="240"/>
              <w:rPr>
                <w:rFonts w:ascii="Times New Roman" w:eastAsia="Times New Roman" w:hAnsi="Times New Roman" w:cs="Times New Roman"/>
                <w:sz w:val="24"/>
                <w:szCs w:val="24"/>
              </w:rPr>
            </w:pPr>
            <m:oMathPara>
              <m:oMath>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r</m:t>
                    </m:r>
                  </m:e>
                  <m:sub>
                    <m:r>
                      <w:rPr>
                        <w:rFonts w:ascii="Times New Roman" w:eastAsia="Times New Roman" w:hAnsi="Times New Roman" w:cs="Times New Roman"/>
                        <w:sz w:val="24"/>
                        <w:szCs w:val="24"/>
                      </w:rPr>
                      <m:t>t</m:t>
                    </m:r>
                  </m:sub>
                  <m:sup>
                    <m:r>
                      <w:rPr>
                        <w:rFonts w:ascii="Times New Roman" w:eastAsia="Times New Roman" w:hAnsi="Times New Roman" w:cs="Times New Roman"/>
                        <w:sz w:val="24"/>
                        <w:szCs w:val="24"/>
                      </w:rPr>
                      <m:t>ETH</m:t>
                    </m:r>
                  </m:sup>
                </m:sSubSup>
              </m:oMath>
            </m:oMathPara>
          </w:p>
        </w:tc>
        <w:tc>
          <w:tcPr>
            <w:tcW w:w="5038" w:type="dxa"/>
            <w:tcBorders>
              <w:top w:val="nil"/>
              <w:left w:val="nil"/>
              <w:bottom w:val="nil"/>
              <w:right w:val="nil"/>
            </w:tcBorders>
            <w:tcMar>
              <w:top w:w="100" w:type="dxa"/>
              <w:left w:w="100" w:type="dxa"/>
              <w:bottom w:w="100" w:type="dxa"/>
              <w:right w:w="100" w:type="dxa"/>
            </w:tcMar>
          </w:tcPr>
          <w:p w14:paraId="7E524F64"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Lợi suất log hằng ngày: </w:t>
            </w:r>
            <m:oMath>
              <m:r>
                <w:rPr>
                  <w:rFonts w:ascii="Times New Roman" w:eastAsia="Times New Roman" w:hAnsi="Times New Roman" w:cs="Times New Roman"/>
                  <w:sz w:val="24"/>
                  <w:szCs w:val="24"/>
                </w:rPr>
                <m:t>100</m:t>
              </m:r>
              <m:box>
                <m:boxPr>
                  <m:opEmu m:val="1"/>
                  <m:ctrlPr>
                    <w:rPr>
                      <w:rFonts w:ascii="Times New Roman" w:eastAsia="Times New Roman" w:hAnsi="Times New Roman" w:cs="Times New Roman"/>
                      <w:sz w:val="24"/>
                      <w:szCs w:val="24"/>
                    </w:rPr>
                  </m:ctrlPr>
                </m:boxPr>
                <m:e>
                  <m:r>
                    <w:rPr>
                      <w:rFonts w:ascii="Times New Roman" w:eastAsia="Times New Roman" w:hAnsi="Times New Roman" w:cs="Times New Roman"/>
                      <w:sz w:val="24"/>
                      <w:szCs w:val="24"/>
                    </w:rPr>
                    <m:t>ln</m:t>
                  </m:r>
                </m:e>
              </m:box>
              <m:r>
                <w:rPr>
                  <w:rFonts w:ascii="Times New Roman" w:eastAsia="Times New Roman" w:hAnsi="Times New Roman" w:cs="Times New Roman"/>
                  <w:sz w:val="24"/>
                  <w:szCs w:val="24"/>
                </w:rPr>
                <m:t>(</m:t>
              </m:r>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sub>
                <m:sup>
                  <m:r>
                    <w:rPr>
                      <w:rFonts w:ascii="Times New Roman" w:eastAsia="Times New Roman" w:hAnsi="Times New Roman" w:cs="Times New Roman"/>
                      <w:sz w:val="24"/>
                      <w:szCs w:val="24"/>
                    </w:rPr>
                    <m:t>ETH</m:t>
                  </m:r>
                </m:sup>
              </m:sSubSup>
              <m:r>
                <w:rPr>
                  <w:rFonts w:ascii="Times New Roman" w:eastAsia="Times New Roman" w:hAnsi="Times New Roman" w:cs="Times New Roman"/>
                  <w:sz w:val="24"/>
                  <w:szCs w:val="24"/>
                </w:rPr>
                <m:t>/</m:t>
              </m:r>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t-1</m:t>
                  </m:r>
                </m:sub>
                <m:sup>
                  <m:r>
                    <w:rPr>
                      <w:rFonts w:ascii="Times New Roman" w:eastAsia="Times New Roman" w:hAnsi="Times New Roman" w:cs="Times New Roman"/>
                      <w:sz w:val="24"/>
                      <w:szCs w:val="24"/>
                    </w:rPr>
                    <m:t>ETH</m:t>
                  </m:r>
                </m:sup>
              </m:sSubSup>
              <m:r>
                <w:rPr>
                  <w:rFonts w:ascii="Times New Roman" w:eastAsia="Times New Roman" w:hAnsi="Times New Roman" w:cs="Times New Roman"/>
                  <w:sz w:val="24"/>
                  <w:szCs w:val="24"/>
                </w:rPr>
                <m:t>)</m:t>
              </m:r>
            </m:oMath>
          </w:p>
        </w:tc>
        <w:tc>
          <w:tcPr>
            <w:tcW w:w="867" w:type="dxa"/>
            <w:tcBorders>
              <w:top w:val="nil"/>
              <w:left w:val="nil"/>
              <w:bottom w:val="nil"/>
              <w:right w:val="nil"/>
            </w:tcBorders>
            <w:tcMar>
              <w:top w:w="100" w:type="dxa"/>
              <w:left w:w="100" w:type="dxa"/>
              <w:bottom w:w="100" w:type="dxa"/>
              <w:right w:w="100" w:type="dxa"/>
            </w:tcMar>
          </w:tcPr>
          <w:p w14:paraId="36BCA9D6"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Hằng ngày</w:t>
            </w:r>
          </w:p>
        </w:tc>
      </w:tr>
      <w:tr w:rsidR="00801403" w14:paraId="17A2EDFE" w14:textId="77777777">
        <w:trPr>
          <w:trHeight w:val="785"/>
        </w:trPr>
        <w:tc>
          <w:tcPr>
            <w:tcW w:w="1418" w:type="dxa"/>
            <w:tcBorders>
              <w:top w:val="nil"/>
              <w:left w:val="nil"/>
              <w:bottom w:val="nil"/>
              <w:right w:val="nil"/>
            </w:tcBorders>
            <w:tcMar>
              <w:top w:w="100" w:type="dxa"/>
              <w:left w:w="100" w:type="dxa"/>
              <w:bottom w:w="100" w:type="dxa"/>
              <w:right w:w="100" w:type="dxa"/>
            </w:tcMar>
          </w:tcPr>
          <w:p w14:paraId="7F2536D5"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Biến động Bitcoin</w:t>
            </w:r>
          </w:p>
        </w:tc>
        <w:tc>
          <w:tcPr>
            <w:tcW w:w="1701" w:type="dxa"/>
            <w:tcBorders>
              <w:top w:val="nil"/>
              <w:left w:val="nil"/>
              <w:bottom w:val="nil"/>
              <w:right w:val="nil"/>
            </w:tcBorders>
            <w:tcMar>
              <w:top w:w="100" w:type="dxa"/>
              <w:left w:w="100" w:type="dxa"/>
              <w:bottom w:w="100" w:type="dxa"/>
              <w:right w:w="100" w:type="dxa"/>
            </w:tcMar>
          </w:tcPr>
          <w:p w14:paraId="51B583E3" w14:textId="77777777" w:rsidR="00801403"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Vo</m:t>
                </m:r>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l</m:t>
                    </m:r>
                  </m:e>
                  <m:sub>
                    <m:r>
                      <w:rPr>
                        <w:rFonts w:ascii="Times New Roman" w:eastAsia="Times New Roman" w:hAnsi="Times New Roman" w:cs="Times New Roman"/>
                        <w:sz w:val="24"/>
                        <w:szCs w:val="24"/>
                      </w:rPr>
                      <m:t>t</m:t>
                    </m:r>
                  </m:sub>
                  <m:sup>
                    <m:r>
                      <w:rPr>
                        <w:rFonts w:ascii="Times New Roman" w:eastAsia="Times New Roman" w:hAnsi="Times New Roman" w:cs="Times New Roman"/>
                        <w:sz w:val="24"/>
                        <w:szCs w:val="24"/>
                      </w:rPr>
                      <m:t>BTC</m:t>
                    </m:r>
                  </m:sup>
                </m:sSubSup>
              </m:oMath>
            </m:oMathPara>
          </w:p>
        </w:tc>
        <w:tc>
          <w:tcPr>
            <w:tcW w:w="5038" w:type="dxa"/>
            <w:tcBorders>
              <w:top w:val="nil"/>
              <w:left w:val="nil"/>
              <w:bottom w:val="nil"/>
              <w:right w:val="nil"/>
            </w:tcBorders>
            <w:tcMar>
              <w:top w:w="100" w:type="dxa"/>
              <w:left w:w="100" w:type="dxa"/>
              <w:bottom w:w="100" w:type="dxa"/>
              <w:right w:w="100" w:type="dxa"/>
            </w:tcMar>
          </w:tcPr>
          <w:p w14:paraId="3B9174B4"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biến động lợi suất BTC, có thể đo bằng độ lệch chuẩn trượt hoặc mô hình biến động</w:t>
            </w:r>
          </w:p>
        </w:tc>
        <w:tc>
          <w:tcPr>
            <w:tcW w:w="867" w:type="dxa"/>
            <w:tcBorders>
              <w:top w:val="nil"/>
              <w:left w:val="nil"/>
              <w:bottom w:val="nil"/>
              <w:right w:val="nil"/>
            </w:tcBorders>
            <w:tcMar>
              <w:top w:w="100" w:type="dxa"/>
              <w:left w:w="100" w:type="dxa"/>
              <w:bottom w:w="100" w:type="dxa"/>
              <w:right w:w="100" w:type="dxa"/>
            </w:tcMar>
          </w:tcPr>
          <w:p w14:paraId="5637040B"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Hằng ngày</w:t>
            </w:r>
          </w:p>
        </w:tc>
      </w:tr>
      <w:tr w:rsidR="00801403" w14:paraId="6C94776B" w14:textId="77777777">
        <w:trPr>
          <w:trHeight w:val="785"/>
        </w:trPr>
        <w:tc>
          <w:tcPr>
            <w:tcW w:w="1418" w:type="dxa"/>
            <w:tcBorders>
              <w:top w:val="nil"/>
              <w:left w:val="nil"/>
              <w:bottom w:val="nil"/>
              <w:right w:val="nil"/>
            </w:tcBorders>
            <w:tcMar>
              <w:top w:w="100" w:type="dxa"/>
              <w:left w:w="100" w:type="dxa"/>
              <w:bottom w:w="100" w:type="dxa"/>
              <w:right w:w="100" w:type="dxa"/>
            </w:tcMar>
          </w:tcPr>
          <w:p w14:paraId="6090F480"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Biến động Ethereum</w:t>
            </w:r>
          </w:p>
        </w:tc>
        <w:tc>
          <w:tcPr>
            <w:tcW w:w="1701" w:type="dxa"/>
            <w:tcBorders>
              <w:top w:val="nil"/>
              <w:left w:val="nil"/>
              <w:bottom w:val="nil"/>
              <w:right w:val="nil"/>
            </w:tcBorders>
            <w:tcMar>
              <w:top w:w="100" w:type="dxa"/>
              <w:left w:w="100" w:type="dxa"/>
              <w:bottom w:w="100" w:type="dxa"/>
              <w:right w:w="100" w:type="dxa"/>
            </w:tcMar>
          </w:tcPr>
          <w:p w14:paraId="3400BA6D" w14:textId="77777777" w:rsidR="00801403"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Vo</m:t>
                </m:r>
                <m:sSubSup>
                  <m:sSubSupPr>
                    <m:ctrlPr>
                      <w:rPr>
                        <w:rFonts w:ascii="Times New Roman" w:eastAsia="Times New Roman" w:hAnsi="Times New Roman" w:cs="Times New Roman"/>
                        <w:sz w:val="24"/>
                        <w:szCs w:val="24"/>
                      </w:rPr>
                    </m:ctrlPr>
                  </m:sSubSupPr>
                  <m:e>
                    <m:r>
                      <w:rPr>
                        <w:rFonts w:ascii="Times New Roman" w:eastAsia="Times New Roman" w:hAnsi="Times New Roman" w:cs="Times New Roman"/>
                        <w:sz w:val="24"/>
                        <w:szCs w:val="24"/>
                      </w:rPr>
                      <m:t>l</m:t>
                    </m:r>
                  </m:e>
                  <m:sub>
                    <m:r>
                      <w:rPr>
                        <w:rFonts w:ascii="Times New Roman" w:eastAsia="Times New Roman" w:hAnsi="Times New Roman" w:cs="Times New Roman"/>
                        <w:sz w:val="24"/>
                        <w:szCs w:val="24"/>
                      </w:rPr>
                      <m:t>t</m:t>
                    </m:r>
                  </m:sub>
                  <m:sup>
                    <m:r>
                      <w:rPr>
                        <w:rFonts w:ascii="Times New Roman" w:eastAsia="Times New Roman" w:hAnsi="Times New Roman" w:cs="Times New Roman"/>
                        <w:sz w:val="24"/>
                        <w:szCs w:val="24"/>
                      </w:rPr>
                      <m:t>ETH</m:t>
                    </m:r>
                  </m:sup>
                </m:sSubSup>
              </m:oMath>
            </m:oMathPara>
          </w:p>
        </w:tc>
        <w:tc>
          <w:tcPr>
            <w:tcW w:w="5038" w:type="dxa"/>
            <w:tcBorders>
              <w:top w:val="nil"/>
              <w:left w:val="nil"/>
              <w:bottom w:val="nil"/>
              <w:right w:val="nil"/>
            </w:tcBorders>
            <w:tcMar>
              <w:top w:w="100" w:type="dxa"/>
              <w:left w:w="100" w:type="dxa"/>
              <w:bottom w:w="100" w:type="dxa"/>
              <w:right w:w="100" w:type="dxa"/>
            </w:tcMar>
          </w:tcPr>
          <w:p w14:paraId="1AFCBEF7"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Mức độ biến động lợi suất ETH, có thể đo bằng độ lệch chuẩn trượt hoặc mô hình biến động</w:t>
            </w:r>
          </w:p>
        </w:tc>
        <w:tc>
          <w:tcPr>
            <w:tcW w:w="867" w:type="dxa"/>
            <w:tcBorders>
              <w:top w:val="nil"/>
              <w:left w:val="nil"/>
              <w:bottom w:val="nil"/>
              <w:right w:val="nil"/>
            </w:tcBorders>
            <w:tcMar>
              <w:top w:w="100" w:type="dxa"/>
              <w:left w:w="100" w:type="dxa"/>
              <w:bottom w:w="100" w:type="dxa"/>
              <w:right w:w="100" w:type="dxa"/>
            </w:tcMar>
          </w:tcPr>
          <w:p w14:paraId="6D36DBA0"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Hằng ngày</w:t>
            </w:r>
          </w:p>
        </w:tc>
      </w:tr>
    </w:tbl>
    <w:p w14:paraId="16B62C19"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đó,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P</m:t>
            </m:r>
          </m:e>
          <m:sub>
            <m:r>
              <w:rPr>
                <w:rFonts w:ascii="Times New Roman" w:eastAsia="Times New Roman" w:hAnsi="Times New Roman" w:cs="Times New Roman"/>
                <w:sz w:val="24"/>
                <w:szCs w:val="24"/>
              </w:rPr>
              <m:t>t</m:t>
            </m:r>
          </m:sub>
        </m:sSub>
      </m:oMath>
      <w:r>
        <w:rPr>
          <w:rFonts w:ascii="Times New Roman" w:eastAsia="Times New Roman" w:hAnsi="Times New Roman" w:cs="Times New Roman"/>
          <w:sz w:val="24"/>
          <w:szCs w:val="24"/>
        </w:rPr>
        <w:t xml:space="preserve"> là giá đóng cửa của tài sản tại ngày </w:t>
      </w:r>
      <m:oMath>
        <m:r>
          <w:rPr>
            <w:rFonts w:ascii="Times New Roman" w:eastAsia="Times New Roman" w:hAnsi="Times New Roman" w:cs="Times New Roman"/>
            <w:sz w:val="24"/>
            <w:szCs w:val="24"/>
          </w:rPr>
          <m:t>t</m:t>
        </m:r>
      </m:oMath>
      <w:r>
        <w:rPr>
          <w:rFonts w:ascii="Times New Roman" w:eastAsia="Times New Roman" w:hAnsi="Times New Roman" w:cs="Times New Roman"/>
          <w:sz w:val="24"/>
          <w:szCs w:val="24"/>
        </w:rPr>
        <w:t>. Blueprint chưa quy định cửa sổ tính biến động cụ thể, vì vậy nhóm cần thống nhất trước khi chạy mô hình. Nếu dùng độ lệch chuẩn trượt 7 hoặc 30 ngày, phải ghi rõ đó là lựa chọn triển khai của nhóm.</w:t>
      </w:r>
    </w:p>
    <w:p w14:paraId="65C68808" w14:textId="77777777" w:rsidR="00801403"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3.2. Biến giải thích chính: điều kiện tài chính toàn cầu </w:t>
      </w:r>
    </w:p>
    <w:p w14:paraId="0C5D89A7" w14:textId="77777777" w:rsidR="00801403" w:rsidRDefault="00801403">
      <w:pPr>
        <w:rPr>
          <w:rFonts w:ascii="Times New Roman" w:eastAsia="Times New Roman" w:hAnsi="Times New Roman" w:cs="Times New Roman"/>
          <w:sz w:val="24"/>
          <w:szCs w:val="24"/>
        </w:rPr>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7"/>
        <w:gridCol w:w="1517"/>
        <w:gridCol w:w="3413"/>
        <w:gridCol w:w="2338"/>
      </w:tblGrid>
      <w:tr w:rsidR="00801403" w14:paraId="31E238BA" w14:textId="77777777">
        <w:trPr>
          <w:trHeight w:val="500"/>
        </w:trPr>
        <w:tc>
          <w:tcPr>
            <w:tcW w:w="1757" w:type="dxa"/>
            <w:tcBorders>
              <w:top w:val="nil"/>
              <w:left w:val="nil"/>
              <w:bottom w:val="nil"/>
              <w:right w:val="nil"/>
            </w:tcBorders>
            <w:tcMar>
              <w:top w:w="100" w:type="dxa"/>
              <w:left w:w="100" w:type="dxa"/>
              <w:bottom w:w="100" w:type="dxa"/>
              <w:right w:w="100" w:type="dxa"/>
            </w:tcMar>
          </w:tcPr>
          <w:p w14:paraId="7B7690F9"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Biến</w:t>
            </w:r>
          </w:p>
        </w:tc>
        <w:tc>
          <w:tcPr>
            <w:tcW w:w="1517" w:type="dxa"/>
            <w:tcBorders>
              <w:top w:val="nil"/>
              <w:left w:val="nil"/>
              <w:bottom w:val="nil"/>
              <w:right w:val="nil"/>
            </w:tcBorders>
            <w:tcMar>
              <w:top w:w="100" w:type="dxa"/>
              <w:left w:w="100" w:type="dxa"/>
              <w:bottom w:w="100" w:type="dxa"/>
              <w:right w:w="100" w:type="dxa"/>
            </w:tcMar>
          </w:tcPr>
          <w:p w14:paraId="0EA4A156"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Ký hiệu</w:t>
            </w:r>
          </w:p>
        </w:tc>
        <w:tc>
          <w:tcPr>
            <w:tcW w:w="3412" w:type="dxa"/>
            <w:tcBorders>
              <w:top w:val="nil"/>
              <w:left w:val="nil"/>
              <w:bottom w:val="nil"/>
              <w:right w:val="nil"/>
            </w:tcBorders>
            <w:tcMar>
              <w:top w:w="100" w:type="dxa"/>
              <w:left w:w="100" w:type="dxa"/>
              <w:bottom w:w="100" w:type="dxa"/>
              <w:right w:w="100" w:type="dxa"/>
            </w:tcMar>
          </w:tcPr>
          <w:p w14:paraId="5CCE23E7"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Định nghĩa và cách đo lường</w:t>
            </w:r>
          </w:p>
        </w:tc>
        <w:tc>
          <w:tcPr>
            <w:tcW w:w="2337" w:type="dxa"/>
            <w:tcBorders>
              <w:top w:val="nil"/>
              <w:left w:val="nil"/>
              <w:bottom w:val="nil"/>
              <w:right w:val="nil"/>
            </w:tcBorders>
            <w:tcMar>
              <w:top w:w="100" w:type="dxa"/>
              <w:left w:w="100" w:type="dxa"/>
              <w:bottom w:w="100" w:type="dxa"/>
              <w:right w:w="100" w:type="dxa"/>
            </w:tcMar>
          </w:tcPr>
          <w:p w14:paraId="6B442F94"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Nguồn dự kiến</w:t>
            </w:r>
          </w:p>
        </w:tc>
      </w:tr>
      <w:tr w:rsidR="00801403" w14:paraId="3ECB3221" w14:textId="77777777">
        <w:trPr>
          <w:trHeight w:val="1055"/>
        </w:trPr>
        <w:tc>
          <w:tcPr>
            <w:tcW w:w="1757" w:type="dxa"/>
            <w:tcBorders>
              <w:top w:val="nil"/>
              <w:left w:val="nil"/>
              <w:bottom w:val="nil"/>
              <w:right w:val="nil"/>
            </w:tcBorders>
            <w:tcMar>
              <w:top w:w="100" w:type="dxa"/>
              <w:left w:w="100" w:type="dxa"/>
              <w:bottom w:w="100" w:type="dxa"/>
              <w:right w:w="100" w:type="dxa"/>
            </w:tcMar>
          </w:tcPr>
          <w:p w14:paraId="4EA70A11"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Cú sốc chính sách tiền tệ</w:t>
            </w:r>
          </w:p>
        </w:tc>
        <w:tc>
          <w:tcPr>
            <w:tcW w:w="1517" w:type="dxa"/>
            <w:tcBorders>
              <w:top w:val="nil"/>
              <w:left w:val="nil"/>
              <w:bottom w:val="nil"/>
              <w:right w:val="nil"/>
            </w:tcBorders>
            <w:tcMar>
              <w:top w:w="100" w:type="dxa"/>
              <w:left w:w="100" w:type="dxa"/>
              <w:bottom w:w="100" w:type="dxa"/>
              <w:right w:w="100" w:type="dxa"/>
            </w:tcMar>
          </w:tcPr>
          <w:p w14:paraId="793A077D" w14:textId="77777777" w:rsidR="00801403"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MPShoc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k</m:t>
                    </m:r>
                  </m:e>
                  <m:sub>
                    <m:r>
                      <w:rPr>
                        <w:rFonts w:ascii="Times New Roman" w:eastAsia="Times New Roman" w:hAnsi="Times New Roman" w:cs="Times New Roman"/>
                        <w:sz w:val="24"/>
                        <w:szCs w:val="24"/>
                      </w:rPr>
                      <m:t>t</m:t>
                    </m:r>
                  </m:sub>
                </m:sSub>
              </m:oMath>
            </m:oMathPara>
          </w:p>
        </w:tc>
        <w:tc>
          <w:tcPr>
            <w:tcW w:w="3412" w:type="dxa"/>
            <w:tcBorders>
              <w:top w:val="nil"/>
              <w:left w:val="nil"/>
              <w:bottom w:val="nil"/>
              <w:right w:val="nil"/>
            </w:tcBorders>
            <w:tcMar>
              <w:top w:w="100" w:type="dxa"/>
              <w:left w:w="100" w:type="dxa"/>
              <w:bottom w:w="100" w:type="dxa"/>
              <w:right w:w="100" w:type="dxa"/>
            </w:tcMar>
          </w:tcPr>
          <w:p w14:paraId="423E3408"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Mức bất ngờ của quyết định hoặc thông tin chính sách tiền tệ Fed</w:t>
            </w:r>
          </w:p>
        </w:tc>
        <w:tc>
          <w:tcPr>
            <w:tcW w:w="2337" w:type="dxa"/>
            <w:tcBorders>
              <w:top w:val="nil"/>
              <w:left w:val="nil"/>
              <w:bottom w:val="nil"/>
              <w:right w:val="nil"/>
            </w:tcBorders>
            <w:tcMar>
              <w:top w:w="100" w:type="dxa"/>
              <w:left w:w="100" w:type="dxa"/>
              <w:bottom w:w="100" w:type="dxa"/>
              <w:right w:w="100" w:type="dxa"/>
            </w:tcMar>
          </w:tcPr>
          <w:p w14:paraId="675EE6DA"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Nguồn dữ liệu monetary policy surprises phù hợp</w:t>
            </w:r>
          </w:p>
        </w:tc>
      </w:tr>
      <w:tr w:rsidR="00801403" w14:paraId="383BA683" w14:textId="77777777">
        <w:trPr>
          <w:trHeight w:val="785"/>
        </w:trPr>
        <w:tc>
          <w:tcPr>
            <w:tcW w:w="1757" w:type="dxa"/>
            <w:tcBorders>
              <w:top w:val="nil"/>
              <w:left w:val="nil"/>
              <w:bottom w:val="nil"/>
              <w:right w:val="nil"/>
            </w:tcBorders>
            <w:tcMar>
              <w:top w:w="100" w:type="dxa"/>
              <w:left w:w="100" w:type="dxa"/>
              <w:bottom w:w="100" w:type="dxa"/>
              <w:right w:w="100" w:type="dxa"/>
            </w:tcMar>
          </w:tcPr>
          <w:p w14:paraId="144EFC46"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Lợi suất trái phiếu Mỹ</w:t>
            </w:r>
          </w:p>
        </w:tc>
        <w:tc>
          <w:tcPr>
            <w:tcW w:w="1517" w:type="dxa"/>
            <w:tcBorders>
              <w:top w:val="nil"/>
              <w:left w:val="nil"/>
              <w:bottom w:val="nil"/>
              <w:right w:val="nil"/>
            </w:tcBorders>
            <w:tcMar>
              <w:top w:w="100" w:type="dxa"/>
              <w:left w:w="100" w:type="dxa"/>
              <w:bottom w:w="100" w:type="dxa"/>
              <w:right w:w="100" w:type="dxa"/>
            </w:tcMar>
          </w:tcPr>
          <w:p w14:paraId="3530CC91"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US2Yt</w:t>
            </w:r>
          </w:p>
        </w:tc>
        <w:tc>
          <w:tcPr>
            <w:tcW w:w="3412" w:type="dxa"/>
            <w:tcBorders>
              <w:top w:val="nil"/>
              <w:left w:val="nil"/>
              <w:bottom w:val="nil"/>
              <w:right w:val="nil"/>
            </w:tcBorders>
            <w:tcMar>
              <w:top w:w="100" w:type="dxa"/>
              <w:left w:w="100" w:type="dxa"/>
              <w:bottom w:w="100" w:type="dxa"/>
              <w:right w:w="100" w:type="dxa"/>
            </w:tcMar>
          </w:tcPr>
          <w:p w14:paraId="2C24A6ED"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Lợi suất trái phiếu Chính phủ Mỹ, kỳ hạn 2 năm hoặc 10 năm</w:t>
            </w:r>
          </w:p>
        </w:tc>
        <w:tc>
          <w:tcPr>
            <w:tcW w:w="2337" w:type="dxa"/>
            <w:tcBorders>
              <w:top w:val="nil"/>
              <w:left w:val="nil"/>
              <w:bottom w:val="nil"/>
              <w:right w:val="nil"/>
            </w:tcBorders>
            <w:tcMar>
              <w:top w:w="100" w:type="dxa"/>
              <w:left w:w="100" w:type="dxa"/>
              <w:bottom w:w="100" w:type="dxa"/>
              <w:right w:w="100" w:type="dxa"/>
            </w:tcMar>
          </w:tcPr>
          <w:p w14:paraId="15249A2E"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FRED hoặc nguồn công khai phù hợp</w:t>
            </w:r>
          </w:p>
        </w:tc>
      </w:tr>
      <w:tr w:rsidR="00801403" w14:paraId="2994EE27" w14:textId="77777777">
        <w:trPr>
          <w:trHeight w:val="1055"/>
        </w:trPr>
        <w:tc>
          <w:tcPr>
            <w:tcW w:w="1757" w:type="dxa"/>
            <w:tcBorders>
              <w:top w:val="nil"/>
              <w:left w:val="nil"/>
              <w:bottom w:val="nil"/>
              <w:right w:val="nil"/>
            </w:tcBorders>
            <w:tcMar>
              <w:top w:w="100" w:type="dxa"/>
              <w:left w:w="100" w:type="dxa"/>
              <w:bottom w:w="100" w:type="dxa"/>
              <w:right w:w="100" w:type="dxa"/>
            </w:tcMar>
          </w:tcPr>
          <w:p w14:paraId="636FB439"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Chỉ số USD</w:t>
            </w:r>
          </w:p>
        </w:tc>
        <w:tc>
          <w:tcPr>
            <w:tcW w:w="1517" w:type="dxa"/>
            <w:tcBorders>
              <w:top w:val="nil"/>
              <w:left w:val="nil"/>
              <w:bottom w:val="nil"/>
              <w:right w:val="nil"/>
            </w:tcBorders>
            <w:tcMar>
              <w:top w:w="100" w:type="dxa"/>
              <w:left w:w="100" w:type="dxa"/>
              <w:bottom w:w="100" w:type="dxa"/>
              <w:right w:w="100" w:type="dxa"/>
            </w:tcMar>
          </w:tcPr>
          <w:p w14:paraId="4F61D73B" w14:textId="77777777" w:rsidR="00801403"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DX</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t</m:t>
                    </m:r>
                  </m:sub>
                </m:sSub>
              </m:oMath>
            </m:oMathPara>
          </w:p>
        </w:tc>
        <w:tc>
          <w:tcPr>
            <w:tcW w:w="3412" w:type="dxa"/>
            <w:tcBorders>
              <w:top w:val="nil"/>
              <w:left w:val="nil"/>
              <w:bottom w:val="nil"/>
              <w:right w:val="nil"/>
            </w:tcBorders>
            <w:tcMar>
              <w:top w:w="100" w:type="dxa"/>
              <w:left w:w="100" w:type="dxa"/>
              <w:bottom w:w="100" w:type="dxa"/>
              <w:right w:w="100" w:type="dxa"/>
            </w:tcMar>
          </w:tcPr>
          <w:p w14:paraId="778ADB2E"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Chỉ số sức mạnh đồng USD; có thể sử dụng thay đổi log hoặc sai phân tùy đặc tính chuỗi</w:t>
            </w:r>
          </w:p>
        </w:tc>
        <w:tc>
          <w:tcPr>
            <w:tcW w:w="2337" w:type="dxa"/>
            <w:tcBorders>
              <w:top w:val="nil"/>
              <w:left w:val="nil"/>
              <w:bottom w:val="nil"/>
              <w:right w:val="nil"/>
            </w:tcBorders>
            <w:tcMar>
              <w:top w:w="100" w:type="dxa"/>
              <w:left w:w="100" w:type="dxa"/>
              <w:bottom w:w="100" w:type="dxa"/>
              <w:right w:w="100" w:type="dxa"/>
            </w:tcMar>
          </w:tcPr>
          <w:p w14:paraId="2507715E"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Nguồn chỉ số USD phù hợp</w:t>
            </w:r>
          </w:p>
        </w:tc>
      </w:tr>
      <w:tr w:rsidR="00801403" w14:paraId="77F237C0" w14:textId="77777777">
        <w:trPr>
          <w:trHeight w:val="1055"/>
        </w:trPr>
        <w:tc>
          <w:tcPr>
            <w:tcW w:w="1757" w:type="dxa"/>
            <w:tcBorders>
              <w:top w:val="nil"/>
              <w:left w:val="nil"/>
              <w:bottom w:val="nil"/>
              <w:right w:val="nil"/>
            </w:tcBorders>
            <w:tcMar>
              <w:top w:w="100" w:type="dxa"/>
              <w:left w:w="100" w:type="dxa"/>
              <w:bottom w:w="100" w:type="dxa"/>
              <w:right w:w="100" w:type="dxa"/>
            </w:tcMar>
          </w:tcPr>
          <w:p w14:paraId="51812130"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Chỉ số biến động thị trường</w:t>
            </w:r>
          </w:p>
        </w:tc>
        <w:tc>
          <w:tcPr>
            <w:tcW w:w="1517" w:type="dxa"/>
            <w:tcBorders>
              <w:top w:val="nil"/>
              <w:left w:val="nil"/>
              <w:bottom w:val="nil"/>
              <w:right w:val="nil"/>
            </w:tcBorders>
            <w:tcMar>
              <w:top w:w="100" w:type="dxa"/>
              <w:left w:w="100" w:type="dxa"/>
              <w:bottom w:w="100" w:type="dxa"/>
              <w:right w:w="100" w:type="dxa"/>
            </w:tcMar>
          </w:tcPr>
          <w:p w14:paraId="61E3122A" w14:textId="77777777" w:rsidR="00801403"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VI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t</m:t>
                    </m:r>
                  </m:sub>
                </m:sSub>
              </m:oMath>
            </m:oMathPara>
          </w:p>
        </w:tc>
        <w:tc>
          <w:tcPr>
            <w:tcW w:w="3412" w:type="dxa"/>
            <w:tcBorders>
              <w:top w:val="nil"/>
              <w:left w:val="nil"/>
              <w:bottom w:val="nil"/>
              <w:right w:val="nil"/>
            </w:tcBorders>
            <w:tcMar>
              <w:top w:w="100" w:type="dxa"/>
              <w:left w:w="100" w:type="dxa"/>
              <w:bottom w:w="100" w:type="dxa"/>
              <w:right w:w="100" w:type="dxa"/>
            </w:tcMar>
          </w:tcPr>
          <w:p w14:paraId="5F3CCC64"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Chỉ số VIX phản ánh kỳ vọng biến động của thị trường chứng khoán Mỹ</w:t>
            </w:r>
          </w:p>
        </w:tc>
        <w:tc>
          <w:tcPr>
            <w:tcW w:w="2337" w:type="dxa"/>
            <w:tcBorders>
              <w:top w:val="nil"/>
              <w:left w:val="nil"/>
              <w:bottom w:val="nil"/>
              <w:right w:val="nil"/>
            </w:tcBorders>
            <w:tcMar>
              <w:top w:w="100" w:type="dxa"/>
              <w:left w:w="100" w:type="dxa"/>
              <w:bottom w:w="100" w:type="dxa"/>
              <w:right w:w="100" w:type="dxa"/>
            </w:tcMar>
          </w:tcPr>
          <w:p w14:paraId="3A7A1130"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FRED hoặc nguồn công khai phù hợp</w:t>
            </w:r>
          </w:p>
        </w:tc>
      </w:tr>
      <w:tr w:rsidR="00801403" w14:paraId="19B0AE98" w14:textId="77777777">
        <w:trPr>
          <w:trHeight w:val="1055"/>
        </w:trPr>
        <w:tc>
          <w:tcPr>
            <w:tcW w:w="1757" w:type="dxa"/>
            <w:tcBorders>
              <w:top w:val="nil"/>
              <w:left w:val="nil"/>
              <w:bottom w:val="nil"/>
              <w:right w:val="nil"/>
            </w:tcBorders>
            <w:tcMar>
              <w:top w:w="100" w:type="dxa"/>
              <w:left w:w="100" w:type="dxa"/>
              <w:bottom w:w="100" w:type="dxa"/>
              <w:right w:w="100" w:type="dxa"/>
            </w:tcMar>
          </w:tcPr>
          <w:p w14:paraId="2251AE5F"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Lợi suất thị trường chứng khoán Mỹ</w:t>
            </w:r>
          </w:p>
        </w:tc>
        <w:tc>
          <w:tcPr>
            <w:tcW w:w="1517" w:type="dxa"/>
            <w:tcBorders>
              <w:top w:val="nil"/>
              <w:left w:val="nil"/>
              <w:bottom w:val="nil"/>
              <w:right w:val="nil"/>
            </w:tcBorders>
            <w:tcMar>
              <w:top w:w="100" w:type="dxa"/>
              <w:left w:w="100" w:type="dxa"/>
              <w:bottom w:w="100" w:type="dxa"/>
              <w:right w:w="100" w:type="dxa"/>
            </w:tcMar>
          </w:tcPr>
          <w:p w14:paraId="329B4276"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\(r^{S\&amp;P}_t\) </w:t>
            </w:r>
          </w:p>
        </w:tc>
        <w:tc>
          <w:tcPr>
            <w:tcW w:w="3412" w:type="dxa"/>
            <w:tcBorders>
              <w:top w:val="nil"/>
              <w:left w:val="nil"/>
              <w:bottom w:val="nil"/>
              <w:right w:val="nil"/>
            </w:tcBorders>
            <w:tcMar>
              <w:top w:w="100" w:type="dxa"/>
              <w:left w:w="100" w:type="dxa"/>
              <w:bottom w:w="100" w:type="dxa"/>
              <w:right w:w="100" w:type="dxa"/>
            </w:tcMar>
          </w:tcPr>
          <w:p w14:paraId="09517B71"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Lợi suất chỉ số S&amp;P 500</w:t>
            </w:r>
          </w:p>
        </w:tc>
        <w:tc>
          <w:tcPr>
            <w:tcW w:w="2337" w:type="dxa"/>
            <w:tcBorders>
              <w:top w:val="nil"/>
              <w:left w:val="nil"/>
              <w:bottom w:val="nil"/>
              <w:right w:val="nil"/>
            </w:tcBorders>
            <w:tcMar>
              <w:top w:w="100" w:type="dxa"/>
              <w:left w:w="100" w:type="dxa"/>
              <w:bottom w:w="100" w:type="dxa"/>
              <w:right w:w="100" w:type="dxa"/>
            </w:tcMar>
          </w:tcPr>
          <w:p w14:paraId="15F957F9"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FRED hoặc nguồn công khai phù hợp</w:t>
            </w:r>
          </w:p>
        </w:tc>
      </w:tr>
      <w:tr w:rsidR="00801403" w14:paraId="2B853BB7" w14:textId="77777777">
        <w:trPr>
          <w:trHeight w:val="785"/>
        </w:trPr>
        <w:tc>
          <w:tcPr>
            <w:tcW w:w="1757" w:type="dxa"/>
            <w:tcBorders>
              <w:top w:val="nil"/>
              <w:left w:val="nil"/>
              <w:bottom w:val="nil"/>
              <w:right w:val="nil"/>
            </w:tcBorders>
            <w:tcMar>
              <w:top w:w="100" w:type="dxa"/>
              <w:left w:w="100" w:type="dxa"/>
              <w:bottom w:w="100" w:type="dxa"/>
              <w:right w:w="100" w:type="dxa"/>
            </w:tcMar>
          </w:tcPr>
          <w:p w14:paraId="2A26CD78"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Giá dầu</w:t>
            </w:r>
          </w:p>
        </w:tc>
        <w:tc>
          <w:tcPr>
            <w:tcW w:w="1517" w:type="dxa"/>
            <w:tcBorders>
              <w:top w:val="nil"/>
              <w:left w:val="nil"/>
              <w:bottom w:val="nil"/>
              <w:right w:val="nil"/>
            </w:tcBorders>
            <w:tcMar>
              <w:top w:w="100" w:type="dxa"/>
              <w:left w:w="100" w:type="dxa"/>
              <w:bottom w:w="100" w:type="dxa"/>
              <w:right w:w="100" w:type="dxa"/>
            </w:tcMar>
          </w:tcPr>
          <w:p w14:paraId="2DA53CAD" w14:textId="77777777" w:rsidR="00801403"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Oi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l</m:t>
                    </m:r>
                  </m:e>
                  <m:sub>
                    <m:r>
                      <w:rPr>
                        <w:rFonts w:ascii="Times New Roman" w:eastAsia="Times New Roman" w:hAnsi="Times New Roman" w:cs="Times New Roman"/>
                        <w:sz w:val="24"/>
                        <w:szCs w:val="24"/>
                      </w:rPr>
                      <m:t>t</m:t>
                    </m:r>
                  </m:sub>
                </m:sSub>
              </m:oMath>
            </m:oMathPara>
          </w:p>
        </w:tc>
        <w:tc>
          <w:tcPr>
            <w:tcW w:w="3412" w:type="dxa"/>
            <w:tcBorders>
              <w:top w:val="nil"/>
              <w:left w:val="nil"/>
              <w:bottom w:val="nil"/>
              <w:right w:val="nil"/>
            </w:tcBorders>
            <w:tcMar>
              <w:top w:w="100" w:type="dxa"/>
              <w:left w:w="100" w:type="dxa"/>
              <w:bottom w:w="100" w:type="dxa"/>
              <w:right w:w="100" w:type="dxa"/>
            </w:tcMar>
          </w:tcPr>
          <w:p w14:paraId="371588A6"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Giá dầu đại diện cho điều kiện thị trường hàng hóa</w:t>
            </w:r>
          </w:p>
        </w:tc>
        <w:tc>
          <w:tcPr>
            <w:tcW w:w="2337" w:type="dxa"/>
            <w:tcBorders>
              <w:top w:val="nil"/>
              <w:left w:val="nil"/>
              <w:bottom w:val="nil"/>
              <w:right w:val="nil"/>
            </w:tcBorders>
            <w:tcMar>
              <w:top w:w="100" w:type="dxa"/>
              <w:left w:w="100" w:type="dxa"/>
              <w:bottom w:w="100" w:type="dxa"/>
              <w:right w:w="100" w:type="dxa"/>
            </w:tcMar>
          </w:tcPr>
          <w:p w14:paraId="50280CF0"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Nguồn công khai phù hợp</w:t>
            </w:r>
          </w:p>
        </w:tc>
      </w:tr>
      <w:tr w:rsidR="00801403" w14:paraId="44C50226" w14:textId="77777777">
        <w:trPr>
          <w:trHeight w:val="785"/>
        </w:trPr>
        <w:tc>
          <w:tcPr>
            <w:tcW w:w="1757" w:type="dxa"/>
            <w:tcBorders>
              <w:top w:val="nil"/>
              <w:left w:val="nil"/>
              <w:bottom w:val="nil"/>
              <w:right w:val="nil"/>
            </w:tcBorders>
            <w:tcMar>
              <w:top w:w="100" w:type="dxa"/>
              <w:left w:w="100" w:type="dxa"/>
              <w:bottom w:w="100" w:type="dxa"/>
              <w:right w:w="100" w:type="dxa"/>
            </w:tcMar>
          </w:tcPr>
          <w:p w14:paraId="31509DDE"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Giá vàng</w:t>
            </w:r>
          </w:p>
        </w:tc>
        <w:tc>
          <w:tcPr>
            <w:tcW w:w="1517" w:type="dxa"/>
            <w:tcBorders>
              <w:top w:val="nil"/>
              <w:left w:val="nil"/>
              <w:bottom w:val="nil"/>
              <w:right w:val="nil"/>
            </w:tcBorders>
            <w:tcMar>
              <w:top w:w="100" w:type="dxa"/>
              <w:left w:w="100" w:type="dxa"/>
              <w:bottom w:w="100" w:type="dxa"/>
              <w:right w:w="100" w:type="dxa"/>
            </w:tcMar>
          </w:tcPr>
          <w:p w14:paraId="7CC524F0" w14:textId="77777777" w:rsidR="00801403"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Gol</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d</m:t>
                    </m:r>
                  </m:e>
                  <m:sub>
                    <m:r>
                      <w:rPr>
                        <w:rFonts w:ascii="Times New Roman" w:eastAsia="Times New Roman" w:hAnsi="Times New Roman" w:cs="Times New Roman"/>
                        <w:sz w:val="24"/>
                        <w:szCs w:val="24"/>
                      </w:rPr>
                      <m:t>t</m:t>
                    </m:r>
                  </m:sub>
                </m:sSub>
              </m:oMath>
            </m:oMathPara>
          </w:p>
        </w:tc>
        <w:tc>
          <w:tcPr>
            <w:tcW w:w="3412" w:type="dxa"/>
            <w:tcBorders>
              <w:top w:val="nil"/>
              <w:left w:val="nil"/>
              <w:bottom w:val="nil"/>
              <w:right w:val="nil"/>
            </w:tcBorders>
            <w:tcMar>
              <w:top w:w="100" w:type="dxa"/>
              <w:left w:w="100" w:type="dxa"/>
              <w:bottom w:w="100" w:type="dxa"/>
              <w:right w:w="100" w:type="dxa"/>
            </w:tcMar>
          </w:tcPr>
          <w:p w14:paraId="3226FC7B"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Giá vàng đại diện cho diễn biến thị trường kim loại quý</w:t>
            </w:r>
          </w:p>
        </w:tc>
        <w:tc>
          <w:tcPr>
            <w:tcW w:w="2337" w:type="dxa"/>
            <w:tcBorders>
              <w:top w:val="nil"/>
              <w:left w:val="nil"/>
              <w:bottom w:val="nil"/>
              <w:right w:val="nil"/>
            </w:tcBorders>
            <w:tcMar>
              <w:top w:w="100" w:type="dxa"/>
              <w:left w:w="100" w:type="dxa"/>
              <w:bottom w:w="100" w:type="dxa"/>
              <w:right w:w="100" w:type="dxa"/>
            </w:tcMar>
          </w:tcPr>
          <w:p w14:paraId="1CB0C6BD"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Nguồn công khai phù hợp</w:t>
            </w:r>
          </w:p>
        </w:tc>
      </w:tr>
      <w:tr w:rsidR="00801403" w14:paraId="60788CE9" w14:textId="77777777">
        <w:trPr>
          <w:trHeight w:val="785"/>
        </w:trPr>
        <w:tc>
          <w:tcPr>
            <w:tcW w:w="1757" w:type="dxa"/>
            <w:tcBorders>
              <w:top w:val="nil"/>
              <w:left w:val="nil"/>
              <w:bottom w:val="nil"/>
              <w:right w:val="nil"/>
            </w:tcBorders>
            <w:tcMar>
              <w:top w:w="100" w:type="dxa"/>
              <w:left w:w="100" w:type="dxa"/>
              <w:bottom w:w="100" w:type="dxa"/>
              <w:right w:w="100" w:type="dxa"/>
            </w:tcMar>
          </w:tcPr>
          <w:p w14:paraId="54F03C34"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Chỉ số căng thẳng tài chính</w:t>
            </w:r>
          </w:p>
        </w:tc>
        <w:tc>
          <w:tcPr>
            <w:tcW w:w="1517" w:type="dxa"/>
            <w:tcBorders>
              <w:top w:val="nil"/>
              <w:left w:val="nil"/>
              <w:bottom w:val="nil"/>
              <w:right w:val="nil"/>
            </w:tcBorders>
            <w:tcMar>
              <w:top w:w="100" w:type="dxa"/>
              <w:left w:w="100" w:type="dxa"/>
              <w:bottom w:w="100" w:type="dxa"/>
              <w:right w:w="100" w:type="dxa"/>
            </w:tcMar>
          </w:tcPr>
          <w:p w14:paraId="1F426CE9" w14:textId="77777777" w:rsidR="00801403"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FS</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I</m:t>
                    </m:r>
                  </m:e>
                  <m:sub>
                    <m:r>
                      <w:rPr>
                        <w:rFonts w:ascii="Times New Roman" w:eastAsia="Times New Roman" w:hAnsi="Times New Roman" w:cs="Times New Roman"/>
                        <w:sz w:val="24"/>
                        <w:szCs w:val="24"/>
                      </w:rPr>
                      <m:t>t</m:t>
                    </m:r>
                  </m:sub>
                </m:sSub>
              </m:oMath>
            </m:oMathPara>
          </w:p>
        </w:tc>
        <w:tc>
          <w:tcPr>
            <w:tcW w:w="3412" w:type="dxa"/>
            <w:tcBorders>
              <w:top w:val="nil"/>
              <w:left w:val="nil"/>
              <w:bottom w:val="nil"/>
              <w:right w:val="nil"/>
            </w:tcBorders>
            <w:tcMar>
              <w:top w:w="100" w:type="dxa"/>
              <w:left w:w="100" w:type="dxa"/>
              <w:bottom w:w="100" w:type="dxa"/>
              <w:right w:w="100" w:type="dxa"/>
            </w:tcMar>
          </w:tcPr>
          <w:p w14:paraId="5258EE33"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Chỉ báo tổng hợp về mức độ căng thẳng của hệ thống tài chính</w:t>
            </w:r>
          </w:p>
        </w:tc>
        <w:tc>
          <w:tcPr>
            <w:tcW w:w="2337" w:type="dxa"/>
            <w:tcBorders>
              <w:top w:val="nil"/>
              <w:left w:val="nil"/>
              <w:bottom w:val="nil"/>
              <w:right w:val="nil"/>
            </w:tcBorders>
            <w:tcMar>
              <w:top w:w="100" w:type="dxa"/>
              <w:left w:w="100" w:type="dxa"/>
              <w:bottom w:w="100" w:type="dxa"/>
              <w:right w:w="100" w:type="dxa"/>
            </w:tcMar>
          </w:tcPr>
          <w:p w14:paraId="38B70646"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FRED hoặc nguồn công khai phù hợp</w:t>
            </w:r>
          </w:p>
        </w:tc>
      </w:tr>
    </w:tbl>
    <w:p w14:paraId="0BC2AC8D"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Phân biệt quan trọng:</w:t>
      </w:r>
    </w:p>
    <w:p w14:paraId="466251E6" w14:textId="77777777" w:rsidR="00801403" w:rsidRDefault="00000000">
      <w:pPr>
        <w:numPr>
          <w:ilvl w:val="0"/>
          <w:numId w:val="4"/>
        </w:numPr>
        <w:spacing w:before="240"/>
        <w:rPr>
          <w:rFonts w:ascii="Times New Roman" w:eastAsia="Times New Roman" w:hAnsi="Times New Roman" w:cs="Times New Roman"/>
          <w:sz w:val="24"/>
          <w:szCs w:val="24"/>
        </w:rPr>
      </w:pPr>
      <m:oMath>
        <m:r>
          <w:rPr>
            <w:rFonts w:ascii="Times New Roman" w:eastAsia="Times New Roman" w:hAnsi="Times New Roman" w:cs="Times New Roman"/>
            <w:sz w:val="24"/>
            <w:szCs w:val="24"/>
          </w:rPr>
          <w:lastRenderedPageBreak/>
          <m:t>US2Yt</m:t>
        </m:r>
      </m:oMath>
      <w:r>
        <w:rPr>
          <w:rFonts w:ascii="Times New Roman" w:eastAsia="Times New Roman" w:hAnsi="Times New Roman" w:cs="Times New Roman"/>
          <w:sz w:val="24"/>
          <w:szCs w:val="24"/>
        </w:rPr>
        <w:t xml:space="preserve"> là lợi suất trái phiếu, không phải lợi suất cổ phiếu hay lợi suất tiền mã hóa.</w:t>
      </w:r>
    </w:p>
    <w:p w14:paraId="44ECB2A1" w14:textId="77777777" w:rsidR="00801403" w:rsidRDefault="00000000">
      <w:pPr>
        <w:numPr>
          <w:ilvl w:val="0"/>
          <w:numId w:val="4"/>
        </w:numPr>
        <w:rPr>
          <w:rFonts w:ascii="Times New Roman" w:eastAsia="Times New Roman" w:hAnsi="Times New Roman" w:cs="Times New Roman"/>
          <w:sz w:val="24"/>
          <w:szCs w:val="24"/>
        </w:rPr>
      </w:pPr>
      <m:oMath>
        <m:r>
          <w:rPr>
            <w:rFonts w:ascii="Times New Roman" w:eastAsia="Times New Roman" w:hAnsi="Times New Roman" w:cs="Times New Roman"/>
            <w:sz w:val="24"/>
            <w:szCs w:val="24"/>
          </w:rPr>
          <m:t>VI</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t</m:t>
            </m:r>
          </m:sub>
        </m:sSub>
      </m:oMath>
      <w:r>
        <w:rPr>
          <w:rFonts w:ascii="Times New Roman" w:eastAsia="Times New Roman" w:hAnsi="Times New Roman" w:cs="Times New Roman"/>
          <w:sz w:val="24"/>
          <w:szCs w:val="24"/>
        </w:rPr>
        <w:t xml:space="preserve"> đo kỳ vọng biến động của thị trường chứng khoán Mỹ, không đồng nghĩa với toàn bộ rủi ro toàn cầu.</w:t>
      </w:r>
    </w:p>
    <w:p w14:paraId="478DAEAB" w14:textId="77777777" w:rsidR="00801403" w:rsidRDefault="00000000">
      <w:pPr>
        <w:numPr>
          <w:ilvl w:val="0"/>
          <w:numId w:val="4"/>
        </w:numPr>
        <w:spacing w:after="240"/>
        <w:rPr>
          <w:rFonts w:ascii="Times New Roman" w:eastAsia="Times New Roman" w:hAnsi="Times New Roman" w:cs="Times New Roman"/>
          <w:sz w:val="24"/>
          <w:szCs w:val="24"/>
        </w:rPr>
      </w:pPr>
      <m:oMath>
        <m:r>
          <w:rPr>
            <w:rFonts w:ascii="Times New Roman" w:eastAsia="Times New Roman" w:hAnsi="Times New Roman" w:cs="Times New Roman"/>
            <w:sz w:val="24"/>
            <w:szCs w:val="24"/>
          </w:rPr>
          <m:t>MPShoc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k</m:t>
            </m:r>
          </m:e>
          <m:sub>
            <m:r>
              <w:rPr>
                <w:rFonts w:ascii="Times New Roman" w:eastAsia="Times New Roman" w:hAnsi="Times New Roman" w:cs="Times New Roman"/>
                <w:sz w:val="24"/>
                <w:szCs w:val="24"/>
              </w:rPr>
              <m:t>t</m:t>
            </m:r>
          </m:sub>
        </m:sSub>
      </m:oMath>
      <w:r>
        <w:rPr>
          <w:rFonts w:ascii="Times New Roman" w:eastAsia="Times New Roman" w:hAnsi="Times New Roman" w:cs="Times New Roman"/>
          <w:sz w:val="24"/>
          <w:szCs w:val="24"/>
        </w:rPr>
        <w:t xml:space="preserve"> phải phản ánh yếu tố bất ngờ nếu nhóm muốn nghiên cứu cú sốc chính sách tiền tệ. Không thể mặc nhiên xem mọi thay đổi lãi suất Fed là một cú sốc bất ngờ.</w:t>
      </w:r>
    </w:p>
    <w:p w14:paraId="2172AA58"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Bộ biến thực tế sẽ phụ thuộc vào câu hỏi nghiên cứu và dữ liệu có thể thu thập được.</w:t>
      </w:r>
    </w:p>
    <w:p w14:paraId="46FDABBD" w14:textId="77777777" w:rsidR="00801403" w:rsidRDefault="00000000">
      <w:pPr>
        <w:pStyle w:val="Heading2"/>
        <w:keepNext w:val="0"/>
        <w:keepLines w:val="0"/>
        <w:spacing w:after="80"/>
        <w:rPr>
          <w:rFonts w:ascii="Times New Roman" w:eastAsia="Times New Roman" w:hAnsi="Times New Roman" w:cs="Times New Roman"/>
          <w:b/>
          <w:bCs/>
          <w:sz w:val="24"/>
          <w:szCs w:val="24"/>
        </w:rPr>
      </w:pPr>
      <w:bookmarkStart w:id="0" w:name="_8xdr1xnfirz0" w:colFirst="0" w:colLast="0"/>
      <w:bookmarkEnd w:id="0"/>
      <w:r>
        <w:rPr>
          <w:rFonts w:ascii="Times New Roman" w:eastAsia="Times New Roman" w:hAnsi="Times New Roman" w:cs="Times New Roman"/>
          <w:b/>
          <w:bCs/>
          <w:sz w:val="24"/>
          <w:szCs w:val="24"/>
        </w:rPr>
        <w:t>3.3. Biến trạng thái và biến tương tác</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34"/>
        <w:gridCol w:w="2279"/>
        <w:gridCol w:w="4712"/>
      </w:tblGrid>
      <w:tr w:rsidR="00801403" w14:paraId="66FFE9C3" w14:textId="77777777">
        <w:trPr>
          <w:trHeight w:val="500"/>
        </w:trPr>
        <w:tc>
          <w:tcPr>
            <w:tcW w:w="2034" w:type="dxa"/>
            <w:tcBorders>
              <w:top w:val="nil"/>
              <w:left w:val="nil"/>
              <w:bottom w:val="nil"/>
              <w:right w:val="nil"/>
            </w:tcBorders>
            <w:tcMar>
              <w:top w:w="100" w:type="dxa"/>
              <w:left w:w="100" w:type="dxa"/>
              <w:bottom w:w="100" w:type="dxa"/>
              <w:right w:w="100" w:type="dxa"/>
            </w:tcMar>
          </w:tcPr>
          <w:p w14:paraId="0CB24D3A"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Biến</w:t>
            </w:r>
          </w:p>
        </w:tc>
        <w:tc>
          <w:tcPr>
            <w:tcW w:w="2279" w:type="dxa"/>
            <w:tcBorders>
              <w:top w:val="nil"/>
              <w:left w:val="nil"/>
              <w:bottom w:val="nil"/>
              <w:right w:val="nil"/>
            </w:tcBorders>
            <w:tcMar>
              <w:top w:w="100" w:type="dxa"/>
              <w:left w:w="100" w:type="dxa"/>
              <w:bottom w:w="100" w:type="dxa"/>
              <w:right w:w="100" w:type="dxa"/>
            </w:tcMar>
          </w:tcPr>
          <w:p w14:paraId="2F495C33"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Ký hiệu</w:t>
            </w:r>
          </w:p>
        </w:tc>
        <w:tc>
          <w:tcPr>
            <w:tcW w:w="4711" w:type="dxa"/>
            <w:tcBorders>
              <w:top w:val="nil"/>
              <w:left w:val="nil"/>
              <w:bottom w:val="nil"/>
              <w:right w:val="nil"/>
            </w:tcBorders>
            <w:tcMar>
              <w:top w:w="100" w:type="dxa"/>
              <w:left w:w="100" w:type="dxa"/>
              <w:bottom w:w="100" w:type="dxa"/>
              <w:right w:w="100" w:type="dxa"/>
            </w:tcMar>
          </w:tcPr>
          <w:p w14:paraId="2C62D7DC"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Định nghĩa</w:t>
            </w:r>
          </w:p>
        </w:tc>
      </w:tr>
      <w:tr w:rsidR="00801403" w14:paraId="68457F23" w14:textId="77777777">
        <w:trPr>
          <w:trHeight w:val="785"/>
        </w:trPr>
        <w:tc>
          <w:tcPr>
            <w:tcW w:w="2034" w:type="dxa"/>
            <w:tcBorders>
              <w:top w:val="nil"/>
              <w:left w:val="nil"/>
              <w:bottom w:val="nil"/>
              <w:right w:val="nil"/>
            </w:tcBorders>
            <w:tcMar>
              <w:top w:w="100" w:type="dxa"/>
              <w:left w:w="100" w:type="dxa"/>
              <w:bottom w:w="100" w:type="dxa"/>
              <w:right w:w="100" w:type="dxa"/>
            </w:tcMar>
          </w:tcPr>
          <w:p w14:paraId="02B7CBB0"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Trạng thái căng thẳng</w:t>
            </w:r>
          </w:p>
        </w:tc>
        <w:tc>
          <w:tcPr>
            <w:tcW w:w="2279" w:type="dxa"/>
            <w:tcBorders>
              <w:top w:val="nil"/>
              <w:left w:val="nil"/>
              <w:bottom w:val="nil"/>
              <w:right w:val="nil"/>
            </w:tcBorders>
            <w:tcMar>
              <w:top w:w="100" w:type="dxa"/>
              <w:left w:w="100" w:type="dxa"/>
              <w:bottom w:w="100" w:type="dxa"/>
              <w:right w:w="100" w:type="dxa"/>
            </w:tcMar>
          </w:tcPr>
          <w:p w14:paraId="600DDD5A" w14:textId="77777777" w:rsidR="00801403"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Stres</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s</m:t>
                    </m:r>
                  </m:e>
                  <m:sub>
                    <m:r>
                      <w:rPr>
                        <w:rFonts w:ascii="Times New Roman" w:eastAsia="Times New Roman" w:hAnsi="Times New Roman" w:cs="Times New Roman"/>
                        <w:sz w:val="24"/>
                        <w:szCs w:val="24"/>
                      </w:rPr>
                      <m:t>t</m:t>
                    </m:r>
                  </m:sub>
                </m:sSub>
              </m:oMath>
            </m:oMathPara>
          </w:p>
        </w:tc>
        <w:tc>
          <w:tcPr>
            <w:tcW w:w="4711" w:type="dxa"/>
            <w:tcBorders>
              <w:top w:val="nil"/>
              <w:left w:val="nil"/>
              <w:bottom w:val="nil"/>
              <w:right w:val="nil"/>
            </w:tcBorders>
            <w:tcMar>
              <w:top w:w="100" w:type="dxa"/>
              <w:left w:w="100" w:type="dxa"/>
              <w:bottom w:w="100" w:type="dxa"/>
              <w:right w:w="100" w:type="dxa"/>
            </w:tcMar>
          </w:tcPr>
          <w:p w14:paraId="0EF1AB4E"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Biến phân loại giai đoạn thị trường căng thẳng và bình thường</w:t>
            </w:r>
          </w:p>
        </w:tc>
      </w:tr>
      <w:tr w:rsidR="00801403" w14:paraId="35EC916E" w14:textId="77777777">
        <w:trPr>
          <w:trHeight w:val="785"/>
        </w:trPr>
        <w:tc>
          <w:tcPr>
            <w:tcW w:w="2034" w:type="dxa"/>
            <w:tcBorders>
              <w:top w:val="nil"/>
              <w:left w:val="nil"/>
              <w:bottom w:val="nil"/>
              <w:right w:val="nil"/>
            </w:tcBorders>
            <w:tcMar>
              <w:top w:w="100" w:type="dxa"/>
              <w:left w:w="100" w:type="dxa"/>
              <w:bottom w:w="100" w:type="dxa"/>
              <w:right w:w="100" w:type="dxa"/>
            </w:tcMar>
          </w:tcPr>
          <w:p w14:paraId="4D2B5D92"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Tương tác cú sốc – căng thẳng</w:t>
            </w:r>
          </w:p>
        </w:tc>
        <w:tc>
          <w:tcPr>
            <w:tcW w:w="2279" w:type="dxa"/>
            <w:tcBorders>
              <w:top w:val="nil"/>
              <w:left w:val="nil"/>
              <w:bottom w:val="nil"/>
              <w:right w:val="nil"/>
            </w:tcBorders>
            <w:tcMar>
              <w:top w:w="100" w:type="dxa"/>
              <w:left w:w="100" w:type="dxa"/>
              <w:bottom w:w="100" w:type="dxa"/>
              <w:right w:w="100" w:type="dxa"/>
            </w:tcMar>
          </w:tcPr>
          <w:p w14:paraId="13B18D8C" w14:textId="77777777" w:rsidR="00801403"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Shoc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k</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×Stres</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s</m:t>
                    </m:r>
                  </m:e>
                  <m:sub>
                    <m:r>
                      <w:rPr>
                        <w:rFonts w:ascii="Times New Roman" w:eastAsia="Times New Roman" w:hAnsi="Times New Roman" w:cs="Times New Roman"/>
                        <w:sz w:val="24"/>
                        <w:szCs w:val="24"/>
                      </w:rPr>
                      <m:t>t</m:t>
                    </m:r>
                  </m:sub>
                </m:sSub>
              </m:oMath>
            </m:oMathPara>
          </w:p>
        </w:tc>
        <w:tc>
          <w:tcPr>
            <w:tcW w:w="4711" w:type="dxa"/>
            <w:tcBorders>
              <w:top w:val="nil"/>
              <w:left w:val="nil"/>
              <w:bottom w:val="nil"/>
              <w:right w:val="nil"/>
            </w:tcBorders>
            <w:tcMar>
              <w:top w:w="100" w:type="dxa"/>
              <w:left w:w="100" w:type="dxa"/>
              <w:bottom w:w="100" w:type="dxa"/>
              <w:right w:w="100" w:type="dxa"/>
            </w:tcMar>
          </w:tcPr>
          <w:p w14:paraId="1D8FEFBB"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Đo lường liệu tác động của cú sốc có thay đổi khi thị trường ở trạng thái căng thẳng</w:t>
            </w:r>
          </w:p>
        </w:tc>
      </w:tr>
      <w:tr w:rsidR="00801403" w14:paraId="28A98D38" w14:textId="77777777">
        <w:trPr>
          <w:trHeight w:val="785"/>
        </w:trPr>
        <w:tc>
          <w:tcPr>
            <w:tcW w:w="2034" w:type="dxa"/>
            <w:tcBorders>
              <w:top w:val="nil"/>
              <w:left w:val="nil"/>
              <w:bottom w:val="nil"/>
              <w:right w:val="nil"/>
            </w:tcBorders>
            <w:tcMar>
              <w:top w:w="100" w:type="dxa"/>
              <w:left w:w="100" w:type="dxa"/>
              <w:bottom w:w="100" w:type="dxa"/>
              <w:right w:w="100" w:type="dxa"/>
            </w:tcMar>
          </w:tcPr>
          <w:p w14:paraId="4F940127"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Giai đoạn sau năm 2020</w:t>
            </w:r>
          </w:p>
        </w:tc>
        <w:tc>
          <w:tcPr>
            <w:tcW w:w="2279" w:type="dxa"/>
            <w:tcBorders>
              <w:top w:val="nil"/>
              <w:left w:val="nil"/>
              <w:bottom w:val="nil"/>
              <w:right w:val="nil"/>
            </w:tcBorders>
            <w:tcMar>
              <w:top w:w="100" w:type="dxa"/>
              <w:left w:w="100" w:type="dxa"/>
              <w:bottom w:w="100" w:type="dxa"/>
              <w:right w:w="100" w:type="dxa"/>
            </w:tcMar>
          </w:tcPr>
          <w:p w14:paraId="7BFD06FD" w14:textId="77777777" w:rsidR="00801403"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Post202</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0</m:t>
                    </m:r>
                  </m:e>
                  <m:sub>
                    <m:r>
                      <w:rPr>
                        <w:rFonts w:ascii="Times New Roman" w:eastAsia="Times New Roman" w:hAnsi="Times New Roman" w:cs="Times New Roman"/>
                        <w:sz w:val="24"/>
                        <w:szCs w:val="24"/>
                      </w:rPr>
                      <m:t>t</m:t>
                    </m:r>
                  </m:sub>
                </m:sSub>
              </m:oMath>
            </m:oMathPara>
          </w:p>
        </w:tc>
        <w:tc>
          <w:tcPr>
            <w:tcW w:w="4711" w:type="dxa"/>
            <w:tcBorders>
              <w:top w:val="nil"/>
              <w:left w:val="nil"/>
              <w:bottom w:val="nil"/>
              <w:right w:val="nil"/>
            </w:tcBorders>
            <w:tcMar>
              <w:top w:w="100" w:type="dxa"/>
              <w:left w:w="100" w:type="dxa"/>
              <w:bottom w:w="100" w:type="dxa"/>
              <w:right w:w="100" w:type="dxa"/>
            </w:tcMar>
          </w:tcPr>
          <w:p w14:paraId="3501FF3D"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Bằng 1 từ năm 2020 trở đi, bằng 0 trước năm 2020</w:t>
            </w:r>
          </w:p>
        </w:tc>
      </w:tr>
      <w:tr w:rsidR="00801403" w14:paraId="5CB9A648" w14:textId="77777777">
        <w:trPr>
          <w:trHeight w:val="785"/>
        </w:trPr>
        <w:tc>
          <w:tcPr>
            <w:tcW w:w="2034" w:type="dxa"/>
            <w:tcBorders>
              <w:top w:val="nil"/>
              <w:left w:val="nil"/>
              <w:bottom w:val="nil"/>
              <w:right w:val="nil"/>
            </w:tcBorders>
            <w:tcMar>
              <w:top w:w="100" w:type="dxa"/>
              <w:left w:w="100" w:type="dxa"/>
              <w:bottom w:w="100" w:type="dxa"/>
              <w:right w:w="100" w:type="dxa"/>
            </w:tcMar>
          </w:tcPr>
          <w:p w14:paraId="0B9B70D1"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Tương tác cú sốc – giai đoạn</w:t>
            </w:r>
          </w:p>
        </w:tc>
        <w:tc>
          <w:tcPr>
            <w:tcW w:w="2279" w:type="dxa"/>
            <w:tcBorders>
              <w:top w:val="nil"/>
              <w:left w:val="nil"/>
              <w:bottom w:val="nil"/>
              <w:right w:val="nil"/>
            </w:tcBorders>
            <w:tcMar>
              <w:top w:w="100" w:type="dxa"/>
              <w:left w:w="100" w:type="dxa"/>
              <w:bottom w:w="100" w:type="dxa"/>
              <w:right w:w="100" w:type="dxa"/>
            </w:tcMar>
          </w:tcPr>
          <w:p w14:paraId="6543C2BD" w14:textId="77777777" w:rsidR="00801403" w:rsidRDefault="00000000">
            <w:pPr>
              <w:spacing w:before="240" w:after="240"/>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Shoc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k</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×Post202</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0</m:t>
                    </m:r>
                  </m:e>
                  <m:sub>
                    <m:r>
                      <w:rPr>
                        <w:rFonts w:ascii="Times New Roman" w:eastAsia="Times New Roman" w:hAnsi="Times New Roman" w:cs="Times New Roman"/>
                        <w:sz w:val="24"/>
                        <w:szCs w:val="24"/>
                      </w:rPr>
                      <m:t>t</m:t>
                    </m:r>
                  </m:sub>
                </m:sSub>
              </m:oMath>
            </m:oMathPara>
          </w:p>
        </w:tc>
        <w:tc>
          <w:tcPr>
            <w:tcW w:w="4711" w:type="dxa"/>
            <w:tcBorders>
              <w:top w:val="nil"/>
              <w:left w:val="nil"/>
              <w:bottom w:val="nil"/>
              <w:right w:val="nil"/>
            </w:tcBorders>
            <w:tcMar>
              <w:top w:w="100" w:type="dxa"/>
              <w:left w:w="100" w:type="dxa"/>
              <w:bottom w:w="100" w:type="dxa"/>
              <w:right w:w="100" w:type="dxa"/>
            </w:tcMar>
          </w:tcPr>
          <w:p w14:paraId="7392AB11"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Đo lường sự khác biệt trong phản ứng giữa hai giai đoạn</w:t>
            </w:r>
          </w:p>
        </w:tc>
      </w:tr>
    </w:tbl>
    <w:p w14:paraId="592D02C7"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So sánh trước/sau năm 2020 hoặc sử dụng kiểm định điểm gãy nội sinh. Do đó, mốc năm 2020 là phương án phân chia dự kiến, không phải bằng chứng rằng institutionalization bắt đầu chính xác vào thời điểm đó.</w:t>
      </w:r>
    </w:p>
    <w:p w14:paraId="2ED07857" w14:textId="77777777" w:rsidR="00801403" w:rsidRDefault="00000000">
      <w:pPr>
        <w:pStyle w:val="Heading2"/>
        <w:keepNext w:val="0"/>
        <w:keepLines w:val="0"/>
        <w:spacing w:after="80"/>
        <w:rPr>
          <w:rFonts w:ascii="Times New Roman" w:eastAsia="Times New Roman" w:hAnsi="Times New Roman" w:cs="Times New Roman"/>
          <w:b/>
          <w:bCs/>
          <w:sz w:val="24"/>
          <w:szCs w:val="24"/>
        </w:rPr>
      </w:pPr>
      <w:bookmarkStart w:id="1" w:name="_pmbqe28d0mqt" w:colFirst="0" w:colLast="0"/>
      <w:bookmarkEnd w:id="1"/>
      <w:r>
        <w:rPr>
          <w:rFonts w:ascii="Times New Roman" w:eastAsia="Times New Roman" w:hAnsi="Times New Roman" w:cs="Times New Roman"/>
          <w:b/>
          <w:bCs/>
          <w:sz w:val="24"/>
          <w:szCs w:val="24"/>
        </w:rPr>
        <w:t>3.4. Biến mục tiêu cho mô hình học máy</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18"/>
        <w:gridCol w:w="4380"/>
        <w:gridCol w:w="3027"/>
      </w:tblGrid>
      <w:tr w:rsidR="00801403" w14:paraId="017BCD33" w14:textId="77777777">
        <w:trPr>
          <w:trHeight w:val="500"/>
        </w:trPr>
        <w:tc>
          <w:tcPr>
            <w:tcW w:w="1617" w:type="dxa"/>
            <w:tcBorders>
              <w:top w:val="nil"/>
              <w:left w:val="nil"/>
              <w:bottom w:val="nil"/>
              <w:right w:val="nil"/>
            </w:tcBorders>
            <w:tcMar>
              <w:top w:w="100" w:type="dxa"/>
              <w:left w:w="100" w:type="dxa"/>
              <w:bottom w:w="100" w:type="dxa"/>
              <w:right w:w="100" w:type="dxa"/>
            </w:tcMar>
          </w:tcPr>
          <w:p w14:paraId="0EA5789A"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Biến mục tiêu</w:t>
            </w:r>
          </w:p>
        </w:tc>
        <w:tc>
          <w:tcPr>
            <w:tcW w:w="4380" w:type="dxa"/>
            <w:tcBorders>
              <w:top w:val="nil"/>
              <w:left w:val="nil"/>
              <w:bottom w:val="nil"/>
              <w:right w:val="nil"/>
            </w:tcBorders>
            <w:tcMar>
              <w:top w:w="100" w:type="dxa"/>
              <w:left w:w="100" w:type="dxa"/>
              <w:bottom w:w="100" w:type="dxa"/>
              <w:right w:w="100" w:type="dxa"/>
            </w:tcMar>
          </w:tcPr>
          <w:p w14:paraId="7D105AFF"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Định nghĩa dự kiến</w:t>
            </w:r>
          </w:p>
        </w:tc>
        <w:tc>
          <w:tcPr>
            <w:tcW w:w="3027" w:type="dxa"/>
            <w:tcBorders>
              <w:top w:val="nil"/>
              <w:left w:val="nil"/>
              <w:bottom w:val="nil"/>
              <w:right w:val="nil"/>
            </w:tcBorders>
            <w:tcMar>
              <w:top w:w="100" w:type="dxa"/>
              <w:left w:w="100" w:type="dxa"/>
              <w:bottom w:w="100" w:type="dxa"/>
              <w:right w:w="100" w:type="dxa"/>
            </w:tcMar>
          </w:tcPr>
          <w:p w14:paraId="777FEB89"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Mục đích</w:t>
            </w:r>
          </w:p>
        </w:tc>
      </w:tr>
      <w:tr w:rsidR="00801403" w14:paraId="00EE0683" w14:textId="77777777">
        <w:trPr>
          <w:trHeight w:val="785"/>
        </w:trPr>
        <w:tc>
          <w:tcPr>
            <w:tcW w:w="1617" w:type="dxa"/>
            <w:tcBorders>
              <w:top w:val="nil"/>
              <w:left w:val="nil"/>
              <w:bottom w:val="nil"/>
              <w:right w:val="nil"/>
            </w:tcBorders>
            <w:tcMar>
              <w:top w:w="100" w:type="dxa"/>
              <w:left w:w="100" w:type="dxa"/>
              <w:bottom w:w="100" w:type="dxa"/>
              <w:right w:w="100" w:type="dxa"/>
            </w:tcMar>
          </w:tcPr>
          <w:p w14:paraId="057BDCB2"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Biến động tương lai</w:t>
            </w:r>
          </w:p>
        </w:tc>
        <w:tc>
          <w:tcPr>
            <w:tcW w:w="4380" w:type="dxa"/>
            <w:tcBorders>
              <w:top w:val="nil"/>
              <w:left w:val="nil"/>
              <w:bottom w:val="nil"/>
              <w:right w:val="nil"/>
            </w:tcBorders>
            <w:tcMar>
              <w:top w:w="100" w:type="dxa"/>
              <w:left w:w="100" w:type="dxa"/>
              <w:bottom w:w="100" w:type="dxa"/>
              <w:right w:w="100" w:type="dxa"/>
            </w:tcMar>
          </w:tcPr>
          <w:p w14:paraId="7BCE50DC"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Biến động BTC/ETH trong ngày kế tiếp hoặc tuần tiếp theo</w:t>
            </w:r>
          </w:p>
        </w:tc>
        <w:tc>
          <w:tcPr>
            <w:tcW w:w="3027" w:type="dxa"/>
            <w:tcBorders>
              <w:top w:val="nil"/>
              <w:left w:val="nil"/>
              <w:bottom w:val="nil"/>
              <w:right w:val="nil"/>
            </w:tcBorders>
            <w:tcMar>
              <w:top w:w="100" w:type="dxa"/>
              <w:left w:w="100" w:type="dxa"/>
              <w:bottom w:w="100" w:type="dxa"/>
              <w:right w:w="100" w:type="dxa"/>
            </w:tcMar>
          </w:tcPr>
          <w:p w14:paraId="3500F61A"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Dự báo rủi ro tương lai</w:t>
            </w:r>
          </w:p>
        </w:tc>
      </w:tr>
      <w:tr w:rsidR="00801403" w14:paraId="78DAA255" w14:textId="77777777">
        <w:trPr>
          <w:trHeight w:val="785"/>
        </w:trPr>
        <w:tc>
          <w:tcPr>
            <w:tcW w:w="1617" w:type="dxa"/>
            <w:tcBorders>
              <w:top w:val="nil"/>
              <w:left w:val="nil"/>
              <w:bottom w:val="nil"/>
              <w:right w:val="nil"/>
            </w:tcBorders>
            <w:tcMar>
              <w:top w:w="100" w:type="dxa"/>
              <w:left w:w="100" w:type="dxa"/>
              <w:bottom w:w="100" w:type="dxa"/>
              <w:right w:w="100" w:type="dxa"/>
            </w:tcMar>
          </w:tcPr>
          <w:p w14:paraId="467C7282"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Trạng thái rủi ro đuôi</w:t>
            </w:r>
          </w:p>
        </w:tc>
        <w:tc>
          <w:tcPr>
            <w:tcW w:w="4380" w:type="dxa"/>
            <w:tcBorders>
              <w:top w:val="nil"/>
              <w:left w:val="nil"/>
              <w:bottom w:val="nil"/>
              <w:right w:val="nil"/>
            </w:tcBorders>
            <w:tcMar>
              <w:top w:w="100" w:type="dxa"/>
              <w:left w:w="100" w:type="dxa"/>
              <w:bottom w:w="100" w:type="dxa"/>
              <w:right w:w="100" w:type="dxa"/>
            </w:tcMar>
          </w:tcPr>
          <w:p w14:paraId="2F41B16E"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Biến phân loại rủi ro cao hoặc thấp theo tiêu chí được xác định trước</w:t>
            </w:r>
          </w:p>
        </w:tc>
        <w:tc>
          <w:tcPr>
            <w:tcW w:w="3027" w:type="dxa"/>
            <w:tcBorders>
              <w:top w:val="nil"/>
              <w:left w:val="nil"/>
              <w:bottom w:val="nil"/>
              <w:right w:val="nil"/>
            </w:tcBorders>
            <w:tcMar>
              <w:top w:w="100" w:type="dxa"/>
              <w:left w:w="100" w:type="dxa"/>
              <w:bottom w:w="100" w:type="dxa"/>
              <w:right w:w="100" w:type="dxa"/>
            </w:tcMar>
          </w:tcPr>
          <w:p w14:paraId="0640A3DA"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Dự báo khả năng xuất hiện trạng thái rủi ro cao</w:t>
            </w:r>
          </w:p>
        </w:tc>
      </w:tr>
    </w:tbl>
    <w:p w14:paraId="7692834C"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Các biến VIX, DXY, lợi suất trái phiếu, lợi suất S&amp;P 500, dầu, vàng và chỉ số căng thẳng tài chính có thể được sử dụng làm đặc trưng đầu vào. Blueprint đề xuất Elastic Net, XGBoost và LightGBM.</w:t>
      </w:r>
    </w:p>
    <w:p w14:paraId="6DC3F484"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Để tránh data leakage, chỉ sử dụng thông tin thực sự có sẵn tại thời điểm dự báo; biến mục tiêu phải được tính từ khoảng thời gian tương lai, tách biệt với dữ liệu đầu vào.</w:t>
      </w:r>
    </w:p>
    <w:p w14:paraId="11885A2D" w14:textId="77777777" w:rsidR="00801403"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Cấu hình nghiên cứu</w:t>
      </w:r>
    </w:p>
    <w:p w14:paraId="36F82B51" w14:textId="77777777" w:rsidR="00801403" w:rsidRDefault="00000000">
      <w:pPr>
        <w:pStyle w:val="Heading2"/>
        <w:keepNext w:val="0"/>
        <w:keepLines w:val="0"/>
        <w:spacing w:after="80"/>
        <w:rPr>
          <w:rFonts w:ascii="Times New Roman" w:eastAsia="Times New Roman" w:hAnsi="Times New Roman" w:cs="Times New Roman"/>
          <w:b/>
          <w:bCs/>
          <w:sz w:val="24"/>
          <w:szCs w:val="24"/>
        </w:rPr>
      </w:pPr>
      <w:bookmarkStart w:id="2" w:name="_p90zrcevcvas" w:colFirst="0" w:colLast="0"/>
      <w:bookmarkEnd w:id="2"/>
      <w:r>
        <w:rPr>
          <w:rFonts w:ascii="Times New Roman" w:eastAsia="Times New Roman" w:hAnsi="Times New Roman" w:cs="Times New Roman"/>
          <w:b/>
          <w:bCs/>
          <w:sz w:val="24"/>
          <w:szCs w:val="24"/>
        </w:rPr>
        <w:t>4.1. Cấu hình dữ liệu</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3"/>
        <w:gridCol w:w="6822"/>
      </w:tblGrid>
      <w:tr w:rsidR="00801403" w14:paraId="79BB1AFF" w14:textId="77777777">
        <w:trPr>
          <w:trHeight w:val="500"/>
        </w:trPr>
        <w:tc>
          <w:tcPr>
            <w:tcW w:w="2203" w:type="dxa"/>
            <w:tcBorders>
              <w:top w:val="nil"/>
              <w:left w:val="nil"/>
              <w:bottom w:val="nil"/>
              <w:right w:val="nil"/>
            </w:tcBorders>
            <w:tcMar>
              <w:top w:w="100" w:type="dxa"/>
              <w:left w:w="100" w:type="dxa"/>
              <w:bottom w:w="100" w:type="dxa"/>
              <w:right w:w="100" w:type="dxa"/>
            </w:tcMar>
          </w:tcPr>
          <w:p w14:paraId="69A29A64"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Thành phần</w:t>
            </w:r>
          </w:p>
        </w:tc>
        <w:tc>
          <w:tcPr>
            <w:tcW w:w="6821" w:type="dxa"/>
            <w:tcBorders>
              <w:top w:val="nil"/>
              <w:left w:val="nil"/>
              <w:bottom w:val="nil"/>
              <w:right w:val="nil"/>
            </w:tcBorders>
            <w:tcMar>
              <w:top w:w="100" w:type="dxa"/>
              <w:left w:w="100" w:type="dxa"/>
              <w:bottom w:w="100" w:type="dxa"/>
              <w:right w:w="100" w:type="dxa"/>
            </w:tcMar>
          </w:tcPr>
          <w:p w14:paraId="1E09D19C"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Cấu hình </w:t>
            </w:r>
          </w:p>
        </w:tc>
      </w:tr>
      <w:tr w:rsidR="00801403" w14:paraId="7BE6E72A" w14:textId="77777777">
        <w:trPr>
          <w:trHeight w:val="785"/>
        </w:trPr>
        <w:tc>
          <w:tcPr>
            <w:tcW w:w="2203" w:type="dxa"/>
            <w:tcBorders>
              <w:top w:val="nil"/>
              <w:left w:val="nil"/>
              <w:bottom w:val="nil"/>
              <w:right w:val="nil"/>
            </w:tcBorders>
            <w:tcMar>
              <w:top w:w="100" w:type="dxa"/>
              <w:left w:w="100" w:type="dxa"/>
              <w:bottom w:w="100" w:type="dxa"/>
              <w:right w:w="100" w:type="dxa"/>
            </w:tcMar>
          </w:tcPr>
          <w:p w14:paraId="1A0793DD"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Đối tượng nghiên cứu</w:t>
            </w:r>
          </w:p>
        </w:tc>
        <w:tc>
          <w:tcPr>
            <w:tcW w:w="6821" w:type="dxa"/>
            <w:tcBorders>
              <w:top w:val="nil"/>
              <w:left w:val="nil"/>
              <w:bottom w:val="nil"/>
              <w:right w:val="nil"/>
            </w:tcBorders>
            <w:tcMar>
              <w:top w:w="100" w:type="dxa"/>
              <w:left w:w="100" w:type="dxa"/>
              <w:bottom w:w="100" w:type="dxa"/>
              <w:right w:w="100" w:type="dxa"/>
            </w:tcMar>
          </w:tcPr>
          <w:p w14:paraId="2FC03611"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Bitcoin (BTC) và Ethereum (ETH)</w:t>
            </w:r>
          </w:p>
        </w:tc>
      </w:tr>
      <w:tr w:rsidR="00801403" w14:paraId="465DB17C" w14:textId="77777777">
        <w:trPr>
          <w:trHeight w:val="500"/>
        </w:trPr>
        <w:tc>
          <w:tcPr>
            <w:tcW w:w="2203" w:type="dxa"/>
            <w:tcBorders>
              <w:top w:val="nil"/>
              <w:left w:val="nil"/>
              <w:bottom w:val="nil"/>
              <w:right w:val="nil"/>
            </w:tcBorders>
            <w:tcMar>
              <w:top w:w="100" w:type="dxa"/>
              <w:left w:w="100" w:type="dxa"/>
              <w:bottom w:w="100" w:type="dxa"/>
              <w:right w:w="100" w:type="dxa"/>
            </w:tcMar>
          </w:tcPr>
          <w:p w14:paraId="643F30EA"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Cặp giao dịch</w:t>
            </w:r>
          </w:p>
        </w:tc>
        <w:tc>
          <w:tcPr>
            <w:tcW w:w="6821" w:type="dxa"/>
            <w:tcBorders>
              <w:top w:val="nil"/>
              <w:left w:val="nil"/>
              <w:bottom w:val="nil"/>
              <w:right w:val="nil"/>
            </w:tcBorders>
            <w:tcMar>
              <w:top w:w="100" w:type="dxa"/>
              <w:left w:w="100" w:type="dxa"/>
              <w:bottom w:w="100" w:type="dxa"/>
              <w:right w:w="100" w:type="dxa"/>
            </w:tcMar>
          </w:tcPr>
          <w:p w14:paraId="6744682F"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BTC/USD hoặc BTC/USDT; ETH/USD hoặc ETH/USDT</w:t>
            </w:r>
          </w:p>
        </w:tc>
      </w:tr>
      <w:tr w:rsidR="00801403" w14:paraId="2B25888A" w14:textId="77777777">
        <w:trPr>
          <w:trHeight w:val="500"/>
        </w:trPr>
        <w:tc>
          <w:tcPr>
            <w:tcW w:w="2203" w:type="dxa"/>
            <w:tcBorders>
              <w:top w:val="nil"/>
              <w:left w:val="nil"/>
              <w:bottom w:val="nil"/>
              <w:right w:val="nil"/>
            </w:tcBorders>
            <w:tcMar>
              <w:top w:w="100" w:type="dxa"/>
              <w:left w:w="100" w:type="dxa"/>
              <w:bottom w:w="100" w:type="dxa"/>
              <w:right w:w="100" w:type="dxa"/>
            </w:tcMar>
          </w:tcPr>
          <w:p w14:paraId="136EB6CB"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Giai đoạn</w:t>
            </w:r>
          </w:p>
        </w:tc>
        <w:tc>
          <w:tcPr>
            <w:tcW w:w="6821" w:type="dxa"/>
            <w:tcBorders>
              <w:top w:val="nil"/>
              <w:left w:val="nil"/>
              <w:bottom w:val="nil"/>
              <w:right w:val="nil"/>
            </w:tcBorders>
            <w:tcMar>
              <w:top w:w="100" w:type="dxa"/>
              <w:left w:w="100" w:type="dxa"/>
              <w:bottom w:w="100" w:type="dxa"/>
              <w:right w:w="100" w:type="dxa"/>
            </w:tcMar>
          </w:tcPr>
          <w:p w14:paraId="19674DEF"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BTC khoảng 2014/2015–2026; ETH có giai đoạn ngắn hơn</w:t>
            </w:r>
          </w:p>
        </w:tc>
      </w:tr>
      <w:tr w:rsidR="00801403" w14:paraId="48FAD485" w14:textId="77777777">
        <w:trPr>
          <w:trHeight w:val="500"/>
        </w:trPr>
        <w:tc>
          <w:tcPr>
            <w:tcW w:w="2203" w:type="dxa"/>
            <w:tcBorders>
              <w:top w:val="nil"/>
              <w:left w:val="nil"/>
              <w:bottom w:val="nil"/>
              <w:right w:val="nil"/>
            </w:tcBorders>
            <w:tcMar>
              <w:top w:w="100" w:type="dxa"/>
              <w:left w:w="100" w:type="dxa"/>
              <w:bottom w:w="100" w:type="dxa"/>
              <w:right w:w="100" w:type="dxa"/>
            </w:tcMar>
          </w:tcPr>
          <w:p w14:paraId="59F3F13F"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Tần suất chính</w:t>
            </w:r>
          </w:p>
        </w:tc>
        <w:tc>
          <w:tcPr>
            <w:tcW w:w="6821" w:type="dxa"/>
            <w:tcBorders>
              <w:top w:val="nil"/>
              <w:left w:val="nil"/>
              <w:bottom w:val="nil"/>
              <w:right w:val="nil"/>
            </w:tcBorders>
            <w:tcMar>
              <w:top w:w="100" w:type="dxa"/>
              <w:left w:w="100" w:type="dxa"/>
              <w:bottom w:w="100" w:type="dxa"/>
              <w:right w:w="100" w:type="dxa"/>
            </w:tcMar>
          </w:tcPr>
          <w:p w14:paraId="7E7AD2ED"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Hằng ngày</w:t>
            </w:r>
          </w:p>
        </w:tc>
      </w:tr>
      <w:tr w:rsidR="00801403" w14:paraId="48013FB7" w14:textId="77777777">
        <w:trPr>
          <w:trHeight w:val="500"/>
        </w:trPr>
        <w:tc>
          <w:tcPr>
            <w:tcW w:w="2203" w:type="dxa"/>
            <w:tcBorders>
              <w:top w:val="nil"/>
              <w:left w:val="nil"/>
              <w:bottom w:val="nil"/>
              <w:right w:val="nil"/>
            </w:tcBorders>
            <w:tcMar>
              <w:top w:w="100" w:type="dxa"/>
              <w:left w:w="100" w:type="dxa"/>
              <w:bottom w:w="100" w:type="dxa"/>
              <w:right w:w="100" w:type="dxa"/>
            </w:tcMar>
          </w:tcPr>
          <w:p w14:paraId="59B7C70F"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Tần suất event study</w:t>
            </w:r>
          </w:p>
        </w:tc>
        <w:tc>
          <w:tcPr>
            <w:tcW w:w="6821" w:type="dxa"/>
            <w:tcBorders>
              <w:top w:val="nil"/>
              <w:left w:val="nil"/>
              <w:bottom w:val="nil"/>
              <w:right w:val="nil"/>
            </w:tcBorders>
            <w:tcMar>
              <w:top w:w="100" w:type="dxa"/>
              <w:left w:w="100" w:type="dxa"/>
              <w:bottom w:w="100" w:type="dxa"/>
              <w:right w:w="100" w:type="dxa"/>
            </w:tcMar>
          </w:tcPr>
          <w:p w14:paraId="7A5C74FE"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trong ngày quanh thời điểm công bố FOMC, nếu có</w:t>
            </w:r>
          </w:p>
        </w:tc>
      </w:tr>
      <w:tr w:rsidR="00801403" w14:paraId="04BDFA4B" w14:textId="77777777">
        <w:trPr>
          <w:trHeight w:val="500"/>
        </w:trPr>
        <w:tc>
          <w:tcPr>
            <w:tcW w:w="2203" w:type="dxa"/>
            <w:tcBorders>
              <w:top w:val="nil"/>
              <w:left w:val="nil"/>
              <w:bottom w:val="nil"/>
              <w:right w:val="nil"/>
            </w:tcBorders>
            <w:tcMar>
              <w:top w:w="100" w:type="dxa"/>
              <w:left w:w="100" w:type="dxa"/>
              <w:bottom w:w="100" w:type="dxa"/>
              <w:right w:w="100" w:type="dxa"/>
            </w:tcMar>
          </w:tcPr>
          <w:p w14:paraId="72F62AAA"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Nguồn giá crypto</w:t>
            </w:r>
          </w:p>
        </w:tc>
        <w:tc>
          <w:tcPr>
            <w:tcW w:w="6821" w:type="dxa"/>
            <w:tcBorders>
              <w:top w:val="nil"/>
              <w:left w:val="nil"/>
              <w:bottom w:val="nil"/>
              <w:right w:val="nil"/>
            </w:tcBorders>
            <w:tcMar>
              <w:top w:w="100" w:type="dxa"/>
              <w:left w:w="100" w:type="dxa"/>
              <w:bottom w:w="100" w:type="dxa"/>
              <w:right w:w="100" w:type="dxa"/>
            </w:tcMar>
          </w:tcPr>
          <w:p w14:paraId="68CFBE22"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Binance, CoinGecko hoặc CryptoCompare</w:t>
            </w:r>
          </w:p>
        </w:tc>
      </w:tr>
      <w:tr w:rsidR="00801403" w14:paraId="1085223D" w14:textId="77777777">
        <w:trPr>
          <w:trHeight w:val="500"/>
        </w:trPr>
        <w:tc>
          <w:tcPr>
            <w:tcW w:w="2203" w:type="dxa"/>
            <w:tcBorders>
              <w:top w:val="nil"/>
              <w:left w:val="nil"/>
              <w:bottom w:val="nil"/>
              <w:right w:val="nil"/>
            </w:tcBorders>
            <w:tcMar>
              <w:top w:w="100" w:type="dxa"/>
              <w:left w:w="100" w:type="dxa"/>
              <w:bottom w:w="100" w:type="dxa"/>
              <w:right w:w="100" w:type="dxa"/>
            </w:tcMar>
          </w:tcPr>
          <w:p w14:paraId="0737BDDB"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Nguồn dữ liệu vĩ mô</w:t>
            </w:r>
          </w:p>
        </w:tc>
        <w:tc>
          <w:tcPr>
            <w:tcW w:w="6821" w:type="dxa"/>
            <w:tcBorders>
              <w:top w:val="nil"/>
              <w:left w:val="nil"/>
              <w:bottom w:val="nil"/>
              <w:right w:val="nil"/>
            </w:tcBorders>
            <w:tcMar>
              <w:top w:w="100" w:type="dxa"/>
              <w:left w:w="100" w:type="dxa"/>
              <w:bottom w:w="100" w:type="dxa"/>
              <w:right w:w="100" w:type="dxa"/>
            </w:tcMar>
          </w:tcPr>
          <w:p w14:paraId="007B2D4A"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FRED và các nguồn dữ liệu công khai phù hợp</w:t>
            </w:r>
          </w:p>
        </w:tc>
      </w:tr>
      <w:tr w:rsidR="00801403" w14:paraId="717B5577" w14:textId="77777777">
        <w:trPr>
          <w:trHeight w:val="500"/>
        </w:trPr>
        <w:tc>
          <w:tcPr>
            <w:tcW w:w="2203" w:type="dxa"/>
            <w:tcBorders>
              <w:top w:val="nil"/>
              <w:left w:val="nil"/>
              <w:bottom w:val="nil"/>
              <w:right w:val="nil"/>
            </w:tcBorders>
            <w:tcMar>
              <w:top w:w="100" w:type="dxa"/>
              <w:left w:w="100" w:type="dxa"/>
              <w:bottom w:w="100" w:type="dxa"/>
              <w:right w:w="100" w:type="dxa"/>
            </w:tcMar>
          </w:tcPr>
          <w:p w14:paraId="5E7F3409"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Công cụ</w:t>
            </w:r>
          </w:p>
        </w:tc>
        <w:tc>
          <w:tcPr>
            <w:tcW w:w="6821" w:type="dxa"/>
            <w:tcBorders>
              <w:top w:val="nil"/>
              <w:left w:val="nil"/>
              <w:bottom w:val="nil"/>
              <w:right w:val="nil"/>
            </w:tcBorders>
            <w:tcMar>
              <w:top w:w="100" w:type="dxa"/>
              <w:left w:w="100" w:type="dxa"/>
              <w:bottom w:w="100" w:type="dxa"/>
              <w:right w:w="100" w:type="dxa"/>
            </w:tcMar>
          </w:tcPr>
          <w:p w14:paraId="50FC1340"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Python ưu tiên; R có thể sử dụng cho econometrics</w:t>
            </w:r>
          </w:p>
        </w:tc>
      </w:tr>
      <w:tr w:rsidR="00801403" w14:paraId="25F0D4D3" w14:textId="77777777">
        <w:trPr>
          <w:trHeight w:val="785"/>
        </w:trPr>
        <w:tc>
          <w:tcPr>
            <w:tcW w:w="2203" w:type="dxa"/>
            <w:tcBorders>
              <w:top w:val="nil"/>
              <w:left w:val="nil"/>
              <w:bottom w:val="nil"/>
              <w:right w:val="nil"/>
            </w:tcBorders>
            <w:tcMar>
              <w:top w:w="100" w:type="dxa"/>
              <w:left w:w="100" w:type="dxa"/>
              <w:bottom w:w="100" w:type="dxa"/>
              <w:right w:w="100" w:type="dxa"/>
            </w:tcMar>
          </w:tcPr>
          <w:p w14:paraId="238AA08E"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Phân chia giai đoạn</w:t>
            </w:r>
          </w:p>
        </w:tc>
        <w:tc>
          <w:tcPr>
            <w:tcW w:w="6821" w:type="dxa"/>
            <w:tcBorders>
              <w:top w:val="nil"/>
              <w:left w:val="nil"/>
              <w:bottom w:val="nil"/>
              <w:right w:val="nil"/>
            </w:tcBorders>
            <w:tcMar>
              <w:top w:w="100" w:type="dxa"/>
              <w:left w:w="100" w:type="dxa"/>
              <w:bottom w:w="100" w:type="dxa"/>
              <w:right w:w="100" w:type="dxa"/>
            </w:tcMar>
          </w:tcPr>
          <w:p w14:paraId="183E37D6"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Trước năm 2020 và từ năm 2020 trở đi, hoặc kiểm định điểm gãy nội sinh</w:t>
            </w:r>
          </w:p>
        </w:tc>
      </w:tr>
    </w:tbl>
    <w:p w14:paraId="23217274"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Nhóm cần chọn nguồn dữ liệu cụ thể cho từng biến, thống nhất múi giờ và cách xử lý ngày nghỉ của thị trường truyền thống. Crypto giao dịch liên tục trong khi các biến vĩ mô và thị trường chứng khoán có lịch giao dịch khác nhau.</w:t>
      </w:r>
    </w:p>
    <w:p w14:paraId="553090C6" w14:textId="77777777" w:rsidR="00801403" w:rsidRDefault="00000000">
      <w:pPr>
        <w:pStyle w:val="Heading2"/>
        <w:keepNext w:val="0"/>
        <w:keepLines w:val="0"/>
        <w:spacing w:after="80"/>
        <w:rPr>
          <w:rFonts w:ascii="Times New Roman" w:eastAsia="Times New Roman" w:hAnsi="Times New Roman" w:cs="Times New Roman"/>
          <w:b/>
          <w:bCs/>
          <w:sz w:val="24"/>
          <w:szCs w:val="24"/>
        </w:rPr>
      </w:pPr>
      <w:bookmarkStart w:id="3" w:name="_91vujlucww8m" w:colFirst="0" w:colLast="0"/>
      <w:bookmarkEnd w:id="3"/>
      <w:r>
        <w:rPr>
          <w:rFonts w:ascii="Times New Roman" w:eastAsia="Times New Roman" w:hAnsi="Times New Roman" w:cs="Times New Roman"/>
          <w:b/>
          <w:bCs/>
          <w:sz w:val="24"/>
          <w:szCs w:val="24"/>
        </w:rPr>
        <w:t>4.2. Liên kết câu hỏi nghiên cứu với phương pháp</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14"/>
        <w:gridCol w:w="3157"/>
        <w:gridCol w:w="2854"/>
      </w:tblGrid>
      <w:tr w:rsidR="00801403" w14:paraId="30E5B844" w14:textId="77777777">
        <w:trPr>
          <w:trHeight w:val="500"/>
        </w:trPr>
        <w:tc>
          <w:tcPr>
            <w:tcW w:w="3013" w:type="dxa"/>
            <w:tcBorders>
              <w:top w:val="nil"/>
              <w:left w:val="nil"/>
              <w:bottom w:val="nil"/>
              <w:right w:val="nil"/>
            </w:tcBorders>
            <w:tcMar>
              <w:top w:w="100" w:type="dxa"/>
              <w:left w:w="100" w:type="dxa"/>
              <w:bottom w:w="100" w:type="dxa"/>
              <w:right w:w="100" w:type="dxa"/>
            </w:tcMar>
          </w:tcPr>
          <w:p w14:paraId="432EE474"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hỏi</w:t>
            </w:r>
          </w:p>
        </w:tc>
        <w:tc>
          <w:tcPr>
            <w:tcW w:w="3157" w:type="dxa"/>
            <w:tcBorders>
              <w:top w:val="nil"/>
              <w:left w:val="nil"/>
              <w:bottom w:val="nil"/>
              <w:right w:val="nil"/>
            </w:tcBorders>
            <w:tcMar>
              <w:top w:w="100" w:type="dxa"/>
              <w:left w:w="100" w:type="dxa"/>
              <w:bottom w:w="100" w:type="dxa"/>
              <w:right w:w="100" w:type="dxa"/>
            </w:tcMar>
          </w:tcPr>
          <w:p w14:paraId="78FF1EE3"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Phương pháp dự kiến</w:t>
            </w:r>
          </w:p>
        </w:tc>
        <w:tc>
          <w:tcPr>
            <w:tcW w:w="2854" w:type="dxa"/>
            <w:tcBorders>
              <w:top w:val="nil"/>
              <w:left w:val="nil"/>
              <w:bottom w:val="nil"/>
              <w:right w:val="nil"/>
            </w:tcBorders>
            <w:tcMar>
              <w:top w:w="100" w:type="dxa"/>
              <w:left w:w="100" w:type="dxa"/>
              <w:bottom w:w="100" w:type="dxa"/>
              <w:right w:w="100" w:type="dxa"/>
            </w:tcMar>
          </w:tcPr>
          <w:p w14:paraId="6E50E81E" w14:textId="77777777" w:rsidR="00801403"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Đầu ra cần báo cáo</w:t>
            </w:r>
          </w:p>
        </w:tc>
      </w:tr>
      <w:tr w:rsidR="00801403" w14:paraId="422D0E11" w14:textId="77777777">
        <w:trPr>
          <w:trHeight w:val="1055"/>
        </w:trPr>
        <w:tc>
          <w:tcPr>
            <w:tcW w:w="3013" w:type="dxa"/>
            <w:tcBorders>
              <w:top w:val="nil"/>
              <w:left w:val="nil"/>
              <w:bottom w:val="nil"/>
              <w:right w:val="nil"/>
            </w:tcBorders>
            <w:tcMar>
              <w:top w:w="100" w:type="dxa"/>
              <w:left w:w="100" w:type="dxa"/>
              <w:bottom w:w="100" w:type="dxa"/>
              <w:right w:w="100" w:type="dxa"/>
            </w:tcMar>
          </w:tcPr>
          <w:p w14:paraId="77DADBCC"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RQ1. Fed/interest-rate shocks có tác động đến BTC/ETH không?</w:t>
            </w:r>
          </w:p>
        </w:tc>
        <w:tc>
          <w:tcPr>
            <w:tcW w:w="3157" w:type="dxa"/>
            <w:tcBorders>
              <w:top w:val="nil"/>
              <w:left w:val="nil"/>
              <w:bottom w:val="nil"/>
              <w:right w:val="nil"/>
            </w:tcBorders>
            <w:tcMar>
              <w:top w:w="100" w:type="dxa"/>
              <w:left w:w="100" w:type="dxa"/>
              <w:bottom w:w="100" w:type="dxa"/>
              <w:right w:w="100" w:type="dxa"/>
            </w:tcMar>
          </w:tcPr>
          <w:p w14:paraId="222F0BCF"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Event study với monetary policy surprises; có thể bổ sung LP</w:t>
            </w:r>
          </w:p>
        </w:tc>
        <w:tc>
          <w:tcPr>
            <w:tcW w:w="2854" w:type="dxa"/>
            <w:tcBorders>
              <w:top w:val="nil"/>
              <w:left w:val="nil"/>
              <w:bottom w:val="nil"/>
              <w:right w:val="nil"/>
            </w:tcBorders>
            <w:tcMar>
              <w:top w:w="100" w:type="dxa"/>
              <w:left w:w="100" w:type="dxa"/>
              <w:bottom w:w="100" w:type="dxa"/>
              <w:right w:w="100" w:type="dxa"/>
            </w:tcMar>
          </w:tcPr>
          <w:p w14:paraId="01E4D0DB"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Phản ứng lợi suất hoặc biến động BTC/ETH quanh cú sốc chính sách tiền tệ</w:t>
            </w:r>
          </w:p>
        </w:tc>
      </w:tr>
      <w:tr w:rsidR="00801403" w14:paraId="1E3BD92A" w14:textId="77777777">
        <w:trPr>
          <w:trHeight w:val="1055"/>
        </w:trPr>
        <w:tc>
          <w:tcPr>
            <w:tcW w:w="3013" w:type="dxa"/>
            <w:tcBorders>
              <w:top w:val="nil"/>
              <w:left w:val="nil"/>
              <w:bottom w:val="nil"/>
              <w:right w:val="nil"/>
            </w:tcBorders>
            <w:tcMar>
              <w:top w:w="100" w:type="dxa"/>
              <w:left w:w="100" w:type="dxa"/>
              <w:bottom w:w="100" w:type="dxa"/>
              <w:right w:w="100" w:type="dxa"/>
            </w:tcMar>
          </w:tcPr>
          <w:p w14:paraId="558177F8"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RQ2. DXY và VIX shocks truyền sang crypto trong bao lâu?</w:t>
            </w:r>
          </w:p>
        </w:tc>
        <w:tc>
          <w:tcPr>
            <w:tcW w:w="3157" w:type="dxa"/>
            <w:tcBorders>
              <w:top w:val="nil"/>
              <w:left w:val="nil"/>
              <w:bottom w:val="nil"/>
              <w:right w:val="nil"/>
            </w:tcBorders>
            <w:tcMar>
              <w:top w:w="100" w:type="dxa"/>
              <w:left w:w="100" w:type="dxa"/>
              <w:bottom w:w="100" w:type="dxa"/>
              <w:right w:w="100" w:type="dxa"/>
            </w:tcMar>
          </w:tcPr>
          <w:p w14:paraId="62E4551C"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VAR và impulse response functions (IRF)</w:t>
            </w:r>
          </w:p>
        </w:tc>
        <w:tc>
          <w:tcPr>
            <w:tcW w:w="2854" w:type="dxa"/>
            <w:tcBorders>
              <w:top w:val="nil"/>
              <w:left w:val="nil"/>
              <w:bottom w:val="nil"/>
              <w:right w:val="nil"/>
            </w:tcBorders>
            <w:tcMar>
              <w:top w:w="100" w:type="dxa"/>
              <w:left w:w="100" w:type="dxa"/>
              <w:bottom w:w="100" w:type="dxa"/>
              <w:right w:w="100" w:type="dxa"/>
            </w:tcMar>
          </w:tcPr>
          <w:p w14:paraId="6CA20237"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Chiều hướng, quy mô và thời gian kéo dài của phản ứng</w:t>
            </w:r>
          </w:p>
        </w:tc>
      </w:tr>
      <w:tr w:rsidR="00801403" w14:paraId="40B4DB82" w14:textId="77777777">
        <w:trPr>
          <w:trHeight w:val="1055"/>
        </w:trPr>
        <w:tc>
          <w:tcPr>
            <w:tcW w:w="3013" w:type="dxa"/>
            <w:tcBorders>
              <w:top w:val="nil"/>
              <w:left w:val="nil"/>
              <w:bottom w:val="nil"/>
              <w:right w:val="nil"/>
            </w:tcBorders>
            <w:tcMar>
              <w:top w:w="100" w:type="dxa"/>
              <w:left w:w="100" w:type="dxa"/>
              <w:bottom w:w="100" w:type="dxa"/>
              <w:right w:w="100" w:type="dxa"/>
            </w:tcMar>
          </w:tcPr>
          <w:p w14:paraId="7906EA5C"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RQ3. Sensitivity có tăng sau năm 2020 hoặc sau institutional adoption không?</w:t>
            </w:r>
          </w:p>
        </w:tc>
        <w:tc>
          <w:tcPr>
            <w:tcW w:w="3157" w:type="dxa"/>
            <w:tcBorders>
              <w:top w:val="nil"/>
              <w:left w:val="nil"/>
              <w:bottom w:val="nil"/>
              <w:right w:val="nil"/>
            </w:tcBorders>
            <w:tcMar>
              <w:top w:w="100" w:type="dxa"/>
              <w:left w:w="100" w:type="dxa"/>
              <w:bottom w:w="100" w:type="dxa"/>
              <w:right w:w="100" w:type="dxa"/>
            </w:tcMar>
          </w:tcPr>
          <w:p w14:paraId="1959BDEA"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So sánh các giai đoạn bằng VAR/LP hoặc kiểm định điểm gãy</w:t>
            </w:r>
          </w:p>
        </w:tc>
        <w:tc>
          <w:tcPr>
            <w:tcW w:w="2854" w:type="dxa"/>
            <w:tcBorders>
              <w:top w:val="nil"/>
              <w:left w:val="nil"/>
              <w:bottom w:val="nil"/>
              <w:right w:val="nil"/>
            </w:tcBorders>
            <w:tcMar>
              <w:top w:w="100" w:type="dxa"/>
              <w:left w:w="100" w:type="dxa"/>
              <w:bottom w:w="100" w:type="dxa"/>
              <w:right w:w="100" w:type="dxa"/>
            </w:tcMar>
          </w:tcPr>
          <w:p w14:paraId="22D78277"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Sự thay đổi của phản ứng giữa các giai đoạn</w:t>
            </w:r>
          </w:p>
        </w:tc>
      </w:tr>
      <w:tr w:rsidR="00801403" w14:paraId="69548EAD" w14:textId="77777777">
        <w:trPr>
          <w:trHeight w:val="1055"/>
        </w:trPr>
        <w:tc>
          <w:tcPr>
            <w:tcW w:w="3013" w:type="dxa"/>
            <w:tcBorders>
              <w:top w:val="nil"/>
              <w:left w:val="nil"/>
              <w:bottom w:val="nil"/>
              <w:right w:val="nil"/>
            </w:tcBorders>
            <w:tcMar>
              <w:top w:w="100" w:type="dxa"/>
              <w:left w:w="100" w:type="dxa"/>
              <w:bottom w:w="100" w:type="dxa"/>
              <w:right w:w="100" w:type="dxa"/>
            </w:tcMar>
          </w:tcPr>
          <w:p w14:paraId="7555E09E"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RQ4. Transmission có mạnh hơn trong stress/high-volatility regimes không?</w:t>
            </w:r>
          </w:p>
        </w:tc>
        <w:tc>
          <w:tcPr>
            <w:tcW w:w="3157" w:type="dxa"/>
            <w:tcBorders>
              <w:top w:val="nil"/>
              <w:left w:val="nil"/>
              <w:bottom w:val="nil"/>
              <w:right w:val="nil"/>
            </w:tcBorders>
            <w:tcMar>
              <w:top w:w="100" w:type="dxa"/>
              <w:left w:w="100" w:type="dxa"/>
              <w:bottom w:w="100" w:type="dxa"/>
              <w:right w:w="100" w:type="dxa"/>
            </w:tcMar>
          </w:tcPr>
          <w:p w14:paraId="7A96F7CB"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LP có biến tương tác </w:t>
            </w:r>
            <m:oMath>
              <m:r>
                <w:rPr>
                  <w:rFonts w:ascii="Times New Roman" w:eastAsia="Times New Roman" w:hAnsi="Times New Roman" w:cs="Times New Roman"/>
                  <w:sz w:val="24"/>
                  <w:szCs w:val="24"/>
                </w:rPr>
                <m:t>Shoc</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k</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×Stres</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s</m:t>
                  </m:r>
                </m:e>
                <m:sub>
                  <m:r>
                    <w:rPr>
                      <w:rFonts w:ascii="Times New Roman" w:eastAsia="Times New Roman" w:hAnsi="Times New Roman" w:cs="Times New Roman"/>
                      <w:sz w:val="24"/>
                      <w:szCs w:val="24"/>
                    </w:rPr>
                    <m:t>t</m:t>
                  </m:r>
                </m:sub>
              </m:sSub>
            </m:oMath>
            <w:r>
              <w:rPr>
                <w:rFonts w:ascii="Times New Roman" w:eastAsia="Times New Roman" w:hAnsi="Times New Roman" w:cs="Times New Roman"/>
                <w:sz w:val="24"/>
                <w:szCs w:val="24"/>
              </w:rPr>
              <w:t>; có thể mở rộng bằng mô hình theo chế độ</w:t>
            </w:r>
          </w:p>
        </w:tc>
        <w:tc>
          <w:tcPr>
            <w:tcW w:w="2854" w:type="dxa"/>
            <w:tcBorders>
              <w:top w:val="nil"/>
              <w:left w:val="nil"/>
              <w:bottom w:val="nil"/>
              <w:right w:val="nil"/>
            </w:tcBorders>
            <w:tcMar>
              <w:top w:w="100" w:type="dxa"/>
              <w:left w:w="100" w:type="dxa"/>
              <w:bottom w:w="100" w:type="dxa"/>
              <w:right w:w="100" w:type="dxa"/>
            </w:tcMar>
          </w:tcPr>
          <w:p w14:paraId="0CAD2441"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Sự khác biệt trong phản ứng giữa trạng thái bình thường và căng thẳng</w:t>
            </w:r>
          </w:p>
        </w:tc>
      </w:tr>
      <w:tr w:rsidR="00801403" w14:paraId="46AFC694" w14:textId="77777777">
        <w:trPr>
          <w:trHeight w:val="1055"/>
        </w:trPr>
        <w:tc>
          <w:tcPr>
            <w:tcW w:w="3013" w:type="dxa"/>
            <w:tcBorders>
              <w:top w:val="nil"/>
              <w:left w:val="nil"/>
              <w:bottom w:val="nil"/>
              <w:right w:val="nil"/>
            </w:tcBorders>
            <w:tcMar>
              <w:top w:w="100" w:type="dxa"/>
              <w:left w:w="100" w:type="dxa"/>
              <w:bottom w:w="100" w:type="dxa"/>
              <w:right w:w="100" w:type="dxa"/>
            </w:tcMar>
          </w:tcPr>
          <w:p w14:paraId="6BF28479"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RQ5. Global variables có cải thiện dự báo rủi ro crypto ngoài mẫu không?</w:t>
            </w:r>
          </w:p>
        </w:tc>
        <w:tc>
          <w:tcPr>
            <w:tcW w:w="3157" w:type="dxa"/>
            <w:tcBorders>
              <w:top w:val="nil"/>
              <w:left w:val="nil"/>
              <w:bottom w:val="nil"/>
              <w:right w:val="nil"/>
            </w:tcBorders>
            <w:tcMar>
              <w:top w:w="100" w:type="dxa"/>
              <w:left w:w="100" w:type="dxa"/>
              <w:bottom w:w="100" w:type="dxa"/>
              <w:right w:w="100" w:type="dxa"/>
            </w:tcMar>
          </w:tcPr>
          <w:p w14:paraId="51D0F8F0"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Elastic Net, XGBoost, LightGBM và benchmark</w:t>
            </w:r>
          </w:p>
        </w:tc>
        <w:tc>
          <w:tcPr>
            <w:tcW w:w="2854" w:type="dxa"/>
            <w:tcBorders>
              <w:top w:val="nil"/>
              <w:left w:val="nil"/>
              <w:bottom w:val="nil"/>
              <w:right w:val="nil"/>
            </w:tcBorders>
            <w:tcMar>
              <w:top w:w="100" w:type="dxa"/>
              <w:left w:w="100" w:type="dxa"/>
              <w:bottom w:w="100" w:type="dxa"/>
              <w:right w:w="100" w:type="dxa"/>
            </w:tcMar>
          </w:tcPr>
          <w:p w14:paraId="58EAE714" w14:textId="77777777"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So sánh chất lượng dự báo ngoài mẫu giữa mô hình cơ sở và mô hình có biến to</w:t>
            </w:r>
          </w:p>
        </w:tc>
      </w:tr>
    </w:tbl>
    <w:p w14:paraId="6061ED36" w14:textId="77777777" w:rsidR="00801403" w:rsidRDefault="00000000">
      <w:pPr>
        <w:spacing w:before="240" w:after="240"/>
        <w:rPr>
          <w:rFonts w:ascii="Times New Roman" w:eastAsia="Times New Roman" w:hAnsi="Times New Roman" w:cs="Times New Roman"/>
          <w:sz w:val="24"/>
          <w:szCs w:val="24"/>
        </w:rPr>
      </w:pPr>
      <w:r>
        <w:rPr>
          <w:rFonts w:ascii="Cardo" w:eastAsia="Cardo" w:hAnsi="Cardo" w:cs="Cardo"/>
          <w:b/>
          <w:bCs/>
          <w:sz w:val="24"/>
          <w:szCs w:val="24"/>
        </w:rPr>
        <w:t xml:space="preserve">→ </w:t>
      </w:r>
      <w:r>
        <w:rPr>
          <w:rFonts w:ascii="Times New Roman" w:eastAsia="Times New Roman" w:hAnsi="Times New Roman" w:cs="Times New Roman"/>
          <w:sz w:val="24"/>
          <w:szCs w:val="24"/>
        </w:rPr>
        <w:t>Các phương pháp trên là cấu hình dự kiến dựa theo ĐỀ, không phải năm mô hình bắt buộc độc lập. Một mô hình có thể phục vụ nhiều giả thuyết.</w:t>
      </w:r>
    </w:p>
    <w:p w14:paraId="27D61B77" w14:textId="07120009" w:rsidR="00801403"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TÀI LIỆU THAM KHẢO</w:t>
      </w:r>
      <w:r>
        <w:rPr>
          <w:rFonts w:ascii="Times New Roman" w:eastAsia="Times New Roman" w:hAnsi="Times New Roman" w:cs="Times New Roman"/>
          <w:b/>
          <w:bCs/>
          <w:sz w:val="24"/>
          <w:szCs w:val="24"/>
        </w:rPr>
        <w:br/>
        <w:t xml:space="preserve"> </w:t>
      </w:r>
      <w:r>
        <w:rPr>
          <w:rFonts w:ascii="Times New Roman" w:eastAsia="Times New Roman" w:hAnsi="Times New Roman" w:cs="Times New Roman"/>
          <w:sz w:val="24"/>
          <w:szCs w:val="24"/>
        </w:rPr>
        <w:t>1. Colombage, S., Jayawardhana, A., &amp; Oatley, T. (2025). Global Financial Stress and Its Transmission to Cryptocurrency Markets: A Cointegration and Causality Approach. Journal of Risk and Financial Management, 18(10), 532.</w:t>
      </w:r>
      <w:hyperlink r:id="rId5">
        <w:r>
          <w:rPr>
            <w:rFonts w:ascii="Times New Roman" w:eastAsia="Times New Roman" w:hAnsi="Times New Roman" w:cs="Times New Roman"/>
            <w:sz w:val="24"/>
            <w:szCs w:val="24"/>
          </w:rPr>
          <w:t xml:space="preserve"> </w:t>
        </w:r>
      </w:hyperlink>
      <w:hyperlink r:id="rId6">
        <w:r>
          <w:rPr>
            <w:rFonts w:ascii="Times New Roman" w:eastAsia="Times New Roman" w:hAnsi="Times New Roman" w:cs="Times New Roman"/>
            <w:color w:val="1155CC"/>
            <w:sz w:val="24"/>
            <w:szCs w:val="24"/>
            <w:u w:val="single"/>
          </w:rPr>
          <w:t>https://doi.org/10.3390/jrfm18100532</w:t>
        </w:r>
        <w:r>
          <w:rPr>
            <w:rFonts w:ascii="Times New Roman" w:eastAsia="Times New Roman" w:hAnsi="Times New Roman" w:cs="Times New Roman"/>
            <w:color w:val="1155CC"/>
            <w:sz w:val="24"/>
            <w:szCs w:val="24"/>
            <w:u w:val="single"/>
          </w:rPr>
          <w:br/>
        </w:r>
      </w:hyperlink>
      <w:r>
        <w:rPr>
          <w:rFonts w:ascii="Times New Roman" w:eastAsia="Times New Roman" w:hAnsi="Times New Roman" w:cs="Times New Roman"/>
          <w:sz w:val="24"/>
          <w:szCs w:val="24"/>
        </w:rPr>
        <w:t>2. Gaies, B., và cộng sự (2024). On the resilience of cryptocurrencies: A quantile-frequency analysis of bitcoin and ethereum reactions in times of inflation and financial instability. Research in International Business and Finance, 70(A), 102302.</w:t>
      </w:r>
      <w:hyperlink r:id="rId7">
        <w:r>
          <w:rPr>
            <w:rFonts w:ascii="Times New Roman" w:eastAsia="Times New Roman" w:hAnsi="Times New Roman" w:cs="Times New Roman"/>
            <w:sz w:val="24"/>
            <w:szCs w:val="24"/>
          </w:rPr>
          <w:t xml:space="preserve"> </w:t>
        </w:r>
      </w:hyperlink>
      <w:hyperlink r:id="rId8">
        <w:r>
          <w:rPr>
            <w:rFonts w:ascii="Times New Roman" w:eastAsia="Times New Roman" w:hAnsi="Times New Roman" w:cs="Times New Roman"/>
            <w:color w:val="1155CC"/>
            <w:sz w:val="24"/>
            <w:szCs w:val="24"/>
            <w:u w:val="single"/>
          </w:rPr>
          <w:t>https://doi.org/10.1016/j.ribaf.2024.102302</w:t>
        </w:r>
        <w:r>
          <w:rPr>
            <w:rFonts w:ascii="Times New Roman" w:eastAsia="Times New Roman" w:hAnsi="Times New Roman" w:cs="Times New Roman"/>
            <w:color w:val="1155CC"/>
            <w:sz w:val="24"/>
            <w:szCs w:val="24"/>
            <w:u w:val="single"/>
          </w:rPr>
          <w:br/>
        </w:r>
      </w:hyperlink>
      <w:r>
        <w:rPr>
          <w:rFonts w:ascii="Times New Roman" w:eastAsia="Times New Roman" w:hAnsi="Times New Roman" w:cs="Times New Roman"/>
          <w:sz w:val="24"/>
          <w:szCs w:val="24"/>
        </w:rPr>
        <w:t>3. Hsu, S., Cheng, C., &amp; Yang, J. (2024). Diversification, hedging, and safe-haven characteristics of cryptocurrencies: A structural change approach. International Review of Financial Analysis, 93, 103211.</w:t>
      </w:r>
      <w:hyperlink r:id="rId9">
        <w:r>
          <w:rPr>
            <w:rFonts w:ascii="Times New Roman" w:eastAsia="Times New Roman" w:hAnsi="Times New Roman" w:cs="Times New Roman"/>
            <w:sz w:val="24"/>
            <w:szCs w:val="24"/>
          </w:rPr>
          <w:t xml:space="preserve"> </w:t>
        </w:r>
      </w:hyperlink>
      <w:hyperlink r:id="rId10">
        <w:r>
          <w:rPr>
            <w:rFonts w:ascii="Times New Roman" w:eastAsia="Times New Roman" w:hAnsi="Times New Roman" w:cs="Times New Roman"/>
            <w:color w:val="1155CC"/>
            <w:sz w:val="24"/>
            <w:szCs w:val="24"/>
            <w:u w:val="single"/>
          </w:rPr>
          <w:t>https://doi.org/10.1016/j.irfa.2024.103211</w:t>
        </w:r>
        <w:r>
          <w:rPr>
            <w:rFonts w:ascii="Times New Roman" w:eastAsia="Times New Roman" w:hAnsi="Times New Roman" w:cs="Times New Roman"/>
            <w:color w:val="1155CC"/>
            <w:sz w:val="24"/>
            <w:szCs w:val="24"/>
            <w:u w:val="single"/>
          </w:rPr>
          <w:br/>
        </w:r>
      </w:hyperlink>
      <w:r>
        <w:rPr>
          <w:rFonts w:ascii="Times New Roman" w:eastAsia="Times New Roman" w:hAnsi="Times New Roman" w:cs="Times New Roman"/>
          <w:sz w:val="24"/>
          <w:szCs w:val="24"/>
        </w:rPr>
        <w:t>4. Karau, S. (2023). Monetary policy and Bitcoin. Journal of International Money and Finance, 137, 102880.</w:t>
      </w:r>
      <w:hyperlink r:id="rId11">
        <w:r>
          <w:rPr>
            <w:rFonts w:ascii="Times New Roman" w:eastAsia="Times New Roman" w:hAnsi="Times New Roman" w:cs="Times New Roman"/>
            <w:sz w:val="24"/>
            <w:szCs w:val="24"/>
          </w:rPr>
          <w:t xml:space="preserve"> </w:t>
        </w:r>
      </w:hyperlink>
      <w:hyperlink r:id="rId12">
        <w:r>
          <w:rPr>
            <w:rFonts w:ascii="Times New Roman" w:eastAsia="Times New Roman" w:hAnsi="Times New Roman" w:cs="Times New Roman"/>
            <w:color w:val="1155CC"/>
            <w:sz w:val="24"/>
            <w:szCs w:val="24"/>
            <w:u w:val="single"/>
          </w:rPr>
          <w:t>https://doi.org/10.1016/j.jimonfin.2023.102880</w:t>
        </w:r>
        <w:r>
          <w:rPr>
            <w:rFonts w:ascii="Times New Roman" w:eastAsia="Times New Roman" w:hAnsi="Times New Roman" w:cs="Times New Roman"/>
            <w:color w:val="1155CC"/>
            <w:sz w:val="24"/>
            <w:szCs w:val="24"/>
            <w:u w:val="single"/>
          </w:rPr>
          <w:br/>
        </w:r>
      </w:hyperlink>
      <w:r>
        <w:rPr>
          <w:rFonts w:ascii="Times New Roman" w:eastAsia="Times New Roman" w:hAnsi="Times New Roman" w:cs="Times New Roman"/>
          <w:sz w:val="24"/>
          <w:szCs w:val="24"/>
        </w:rPr>
        <w:t>5. Kyriazis, N., và cộng sự (2023). Monetary Policy, Digital Assets, and DeFi Activity. arX</w:t>
      </w:r>
      <w:r w:rsidR="004A6671">
        <w:rPr>
          <w:rFonts w:ascii="Times New Roman" w:eastAsia="Times New Roman" w:hAnsi="Times New Roman" w:cs="Times New Roman"/>
          <w:sz w:val="24"/>
          <w:szCs w:val="24"/>
          <w:lang w:val="en-US"/>
        </w:rPr>
        <w:t xml:space="preserve"> </w:t>
      </w:r>
      <w:hyperlink r:id="rId13" w:history="1">
        <w:r w:rsidR="004A6671" w:rsidRPr="008C7BFB">
          <w:rPr>
            <w:rStyle w:val="Hyperlink"/>
            <w:rFonts w:ascii="Times New Roman" w:eastAsia="Times New Roman" w:hAnsi="Times New Roman" w:cs="Times New Roman"/>
            <w:sz w:val="24"/>
            <w:szCs w:val="24"/>
          </w:rPr>
          <w:t>https://arxi</w:t>
        </w:r>
        <w:r w:rsidR="004A6671" w:rsidRPr="008C7BFB">
          <w:rPr>
            <w:rStyle w:val="Hyperlink"/>
            <w:rFonts w:ascii="Times New Roman" w:eastAsia="Times New Roman" w:hAnsi="Times New Roman" w:cs="Times New Roman"/>
            <w:sz w:val="24"/>
            <w:szCs w:val="24"/>
          </w:rPr>
          <w:t>v</w:t>
        </w:r>
        <w:r w:rsidR="004A6671" w:rsidRPr="008C7BFB">
          <w:rPr>
            <w:rStyle w:val="Hyperlink"/>
            <w:rFonts w:ascii="Times New Roman" w:eastAsia="Times New Roman" w:hAnsi="Times New Roman" w:cs="Times New Roman"/>
            <w:sz w:val="24"/>
            <w:szCs w:val="24"/>
          </w:rPr>
          <w:t>.org/pdf/2302.10252</w:t>
        </w:r>
        <w:r w:rsidR="004A6671" w:rsidRPr="008C7BFB">
          <w:rPr>
            <w:rStyle w:val="Hyperlink"/>
            <w:rFonts w:ascii="Times New Roman" w:eastAsia="Times New Roman" w:hAnsi="Times New Roman" w:cs="Times New Roman"/>
            <w:sz w:val="24"/>
            <w:szCs w:val="24"/>
          </w:rPr>
          <w:br/>
        </w:r>
      </w:hyperlink>
      <w:r>
        <w:rPr>
          <w:rFonts w:ascii="Times New Roman" w:eastAsia="Times New Roman" w:hAnsi="Times New Roman" w:cs="Times New Roman"/>
          <w:sz w:val="24"/>
          <w:szCs w:val="24"/>
        </w:rPr>
        <w:t>6. Lawuobahsumo, C., Algieri, B., &amp; Leccadito, A. (2024). Forecasting cryptocurrencies returns: Do macroeconomic and financial variables improve tail expectation predictions? Quality &amp; Quantity, 58, 2647–2675.</w:t>
      </w:r>
      <w:hyperlink r:id="rId14">
        <w:r>
          <w:rPr>
            <w:rFonts w:ascii="Times New Roman" w:eastAsia="Times New Roman" w:hAnsi="Times New Roman" w:cs="Times New Roman"/>
            <w:sz w:val="24"/>
            <w:szCs w:val="24"/>
          </w:rPr>
          <w:t xml:space="preserve"> </w:t>
        </w:r>
      </w:hyperlink>
      <w:hyperlink r:id="rId15">
        <w:r>
          <w:rPr>
            <w:rFonts w:ascii="Times New Roman" w:eastAsia="Times New Roman" w:hAnsi="Times New Roman" w:cs="Times New Roman"/>
            <w:color w:val="1155CC"/>
            <w:sz w:val="24"/>
            <w:szCs w:val="24"/>
            <w:u w:val="single"/>
          </w:rPr>
          <w:t>https://doi.org/10.1007/s11135-023-01761-1</w:t>
        </w:r>
        <w:r>
          <w:rPr>
            <w:rFonts w:ascii="Times New Roman" w:eastAsia="Times New Roman" w:hAnsi="Times New Roman" w:cs="Times New Roman"/>
            <w:color w:val="1155CC"/>
            <w:sz w:val="24"/>
            <w:szCs w:val="24"/>
            <w:u w:val="single"/>
          </w:rPr>
          <w:br/>
        </w:r>
      </w:hyperlink>
      <w:r>
        <w:rPr>
          <w:rFonts w:ascii="Times New Roman" w:eastAsia="Times New Roman" w:hAnsi="Times New Roman" w:cs="Times New Roman"/>
          <w:sz w:val="24"/>
          <w:szCs w:val="24"/>
        </w:rPr>
        <w:t>7. Yae, J., &amp; Tian, Y. (2022). Out-of-sample forecasting of cryptocurrency returns: A comprehensive comparison of predictors and algorithms. Physica A: Statistical Mechanics and its Applications, 598, 127379.</w:t>
      </w:r>
      <w:hyperlink r:id="rId16">
        <w:r>
          <w:rPr>
            <w:rFonts w:ascii="Times New Roman" w:eastAsia="Times New Roman" w:hAnsi="Times New Roman" w:cs="Times New Roman"/>
            <w:sz w:val="24"/>
            <w:szCs w:val="24"/>
          </w:rPr>
          <w:t xml:space="preserve"> </w:t>
        </w:r>
      </w:hyperlink>
      <w:hyperlink r:id="rId17">
        <w:r>
          <w:rPr>
            <w:rFonts w:ascii="Times New Roman" w:eastAsia="Times New Roman" w:hAnsi="Times New Roman" w:cs="Times New Roman"/>
            <w:color w:val="1155CC"/>
            <w:sz w:val="24"/>
            <w:szCs w:val="24"/>
            <w:u w:val="single"/>
          </w:rPr>
          <w:t>https://doi.org/10.1016/j.physa.2022.127379</w:t>
        </w:r>
        <w:r>
          <w:rPr>
            <w:rFonts w:ascii="Times New Roman" w:eastAsia="Times New Roman" w:hAnsi="Times New Roman" w:cs="Times New Roman"/>
            <w:color w:val="1155CC"/>
            <w:sz w:val="24"/>
            <w:szCs w:val="24"/>
            <w:u w:val="single"/>
          </w:rPr>
          <w:br/>
        </w:r>
      </w:hyperlink>
      <w:r>
        <w:rPr>
          <w:rFonts w:ascii="Times New Roman" w:eastAsia="Times New Roman" w:hAnsi="Times New Roman" w:cs="Times New Roman"/>
          <w:sz w:val="24"/>
          <w:szCs w:val="24"/>
        </w:rPr>
        <w:t xml:space="preserve"> làm cho bộ tài liệu này đi</w:t>
      </w:r>
    </w:p>
    <w:p w14:paraId="5BE87ED1" w14:textId="77777777" w:rsidR="00801403" w:rsidRDefault="00801403">
      <w:pPr>
        <w:rPr>
          <w:rFonts w:ascii="Times New Roman" w:eastAsia="Times New Roman" w:hAnsi="Times New Roman" w:cs="Times New Roman"/>
          <w:sz w:val="24"/>
          <w:szCs w:val="24"/>
        </w:rPr>
      </w:pPr>
    </w:p>
    <w:sectPr w:rsidR="0080140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embedBold r:id="rId1" w:fontKey="{EECCB52E-6058-4728-AEEE-A6CA840CB6B6}"/>
  </w:font>
  <w:font w:name="Calibri">
    <w:panose1 w:val="020F0502020204030204"/>
    <w:charset w:val="00"/>
    <w:family w:val="swiss"/>
    <w:pitch w:val="variable"/>
    <w:sig w:usb0="E4002EFF" w:usb1="C200247B" w:usb2="00000009" w:usb3="00000000" w:csb0="000001FF" w:csb1="00000000"/>
    <w:embedRegular r:id="rId2" w:fontKey="{94377C42-FED1-477C-A796-8E1D2B192E9A}"/>
  </w:font>
  <w:font w:name="Cambria">
    <w:panose1 w:val="02040503050406030204"/>
    <w:charset w:val="00"/>
    <w:family w:val="roman"/>
    <w:pitch w:val="variable"/>
    <w:sig w:usb0="E00006FF" w:usb1="420024FF" w:usb2="02000000" w:usb3="00000000" w:csb0="0000019F" w:csb1="00000000"/>
    <w:embedRegular r:id="rId3" w:fontKey="{9AD737AC-40DC-4638-9043-47695DD047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C60A9"/>
    <w:multiLevelType w:val="multilevel"/>
    <w:tmpl w:val="F3EEA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F24A7A"/>
    <w:multiLevelType w:val="multilevel"/>
    <w:tmpl w:val="DCA67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987AAC"/>
    <w:multiLevelType w:val="multilevel"/>
    <w:tmpl w:val="B9522D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C61486"/>
    <w:multiLevelType w:val="multilevel"/>
    <w:tmpl w:val="0380B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6263791">
    <w:abstractNumId w:val="2"/>
  </w:num>
  <w:num w:numId="2" w16cid:durableId="465970062">
    <w:abstractNumId w:val="0"/>
  </w:num>
  <w:num w:numId="3" w16cid:durableId="1527601862">
    <w:abstractNumId w:val="1"/>
  </w:num>
  <w:num w:numId="4" w16cid:durableId="222252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403"/>
    <w:rsid w:val="001074D6"/>
    <w:rsid w:val="004A6671"/>
    <w:rsid w:val="006F54AF"/>
    <w:rsid w:val="00801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4C2E6"/>
  <w15:docId w15:val="{C4CA587A-87F5-4D2B-BC06-2F02AD8CA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Hyperlink">
    <w:name w:val="Hyperlink"/>
    <w:basedOn w:val="DefaultParagraphFont"/>
    <w:uiPriority w:val="99"/>
    <w:unhideWhenUsed/>
    <w:rsid w:val="004A6671"/>
    <w:rPr>
      <w:color w:val="0000FF" w:themeColor="hyperlink"/>
      <w:u w:val="single"/>
    </w:rPr>
  </w:style>
  <w:style w:type="character" w:styleId="UnresolvedMention">
    <w:name w:val="Unresolved Mention"/>
    <w:basedOn w:val="DefaultParagraphFont"/>
    <w:uiPriority w:val="99"/>
    <w:semiHidden/>
    <w:unhideWhenUsed/>
    <w:rsid w:val="004A6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ribaf.2024.102302" TargetMode="External"/><Relationship Id="rId13" Type="http://schemas.openxmlformats.org/officeDocument/2006/relationships/hyperlink" Target="https://arxiv.org/pdf/2302.1025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ribaf.2024.102302" TargetMode="External"/><Relationship Id="rId12" Type="http://schemas.openxmlformats.org/officeDocument/2006/relationships/hyperlink" Target="https://doi.org/10.1016/j.jimonfin.2023.102880" TargetMode="External"/><Relationship Id="rId17" Type="http://schemas.openxmlformats.org/officeDocument/2006/relationships/hyperlink" Target="https://doi.org/10.1016/j.physa.2022.127379" TargetMode="External"/><Relationship Id="rId2" Type="http://schemas.openxmlformats.org/officeDocument/2006/relationships/styles" Target="styles.xml"/><Relationship Id="rId16" Type="http://schemas.openxmlformats.org/officeDocument/2006/relationships/hyperlink" Target="https://doi.org/10.1016/j.physa.2022.127379" TargetMode="External"/><Relationship Id="rId1" Type="http://schemas.openxmlformats.org/officeDocument/2006/relationships/numbering" Target="numbering.xml"/><Relationship Id="rId6" Type="http://schemas.openxmlformats.org/officeDocument/2006/relationships/hyperlink" Target="https://doi.org/10.3390/jrfm18100532" TargetMode="External"/><Relationship Id="rId11" Type="http://schemas.openxmlformats.org/officeDocument/2006/relationships/hyperlink" Target="https://doi.org/10.1016/j.jimonfin.2023.102880" TargetMode="External"/><Relationship Id="rId5" Type="http://schemas.openxmlformats.org/officeDocument/2006/relationships/hyperlink" Target="https://doi.org/10.3390/jrfm18100532" TargetMode="External"/><Relationship Id="rId15" Type="http://schemas.openxmlformats.org/officeDocument/2006/relationships/hyperlink" Target="https://doi.org/10.1007/s11135-023-01761-1" TargetMode="External"/><Relationship Id="rId10" Type="http://schemas.openxmlformats.org/officeDocument/2006/relationships/hyperlink" Target="https://doi.org/10.1016/j.irfa.2024.10321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016/j.irfa.2024.103211" TargetMode="External"/><Relationship Id="rId14" Type="http://schemas.openxmlformats.org/officeDocument/2006/relationships/hyperlink" Target="https://doi.org/10.1007/s11135-023-01761-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Pages>
  <Words>4500</Words>
  <Characters>25653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Nhi Võ</cp:lastModifiedBy>
  <cp:revision>3</cp:revision>
  <dcterms:created xsi:type="dcterms:W3CDTF">2026-10-18T06:53:00Z</dcterms:created>
  <dcterms:modified xsi:type="dcterms:W3CDTF">2026-10-18T07:47:00Z</dcterms:modified>
</cp:coreProperties>
</file>