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FF74F" w14:textId="600AF70F" w:rsidR="00BD4DA3" w:rsidRDefault="00000000">
      <w:pPr>
        <w:spacing w:before="20" w:after="20" w:line="360" w:lineRule="auto"/>
        <w:ind w:right="36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 xml:space="preserve">ĐỀ TÀI: </w:t>
      </w:r>
      <w:r w:rsidR="00BD4DA3" w:rsidRPr="00BD4DA3">
        <w:rPr>
          <w:rFonts w:ascii="Times New Roman" w:eastAsia="Times New Roman" w:hAnsi="Times New Roman" w:cs="Times New Roman"/>
          <w:b/>
          <w:bCs/>
          <w:sz w:val="24"/>
          <w:szCs w:val="24"/>
        </w:rPr>
        <w:t>ĐIỀU KIỆN TÀI CHÍNH TOÀN CẦU VÀ THỊ TRƯỜNG TIỀN MÃ HÓA: PHÂN TÍCH MỐI LIÊN HỆ ĐỘNG VÀ SỰ KHÁC BIỆT THEO TRẠNG THÁI THỊ TRƯỜNG CỦA BITCOIN VÀ ETHEREUM</w:t>
      </w:r>
    </w:p>
    <w:p w14:paraId="720A1DF9" w14:textId="520AFB85"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Cơ sở lý thuyết và tổng quan các nghiên cứu trước</w:t>
      </w:r>
    </w:p>
    <w:p w14:paraId="092CCBE0"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 Cơ sở lý thuyết</w:t>
      </w:r>
    </w:p>
    <w:p w14:paraId="169611F1"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1.1.1. Kênh truyền dẫn của chính sách tiền tệ đến thị trường tiền mã hóa</w:t>
      </w:r>
    </w:p>
    <w:p w14:paraId="13A71110"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Khi điều kiện lãi suất tại Mỹ thay đổi, lợi suất của các tài sản an toàn, chi phí vốn và khẩu vị rủi ro của nhà đầu tư có thể biến động theo. Những thay đổi này có thể đi kèm với sự thay đổi trong lợi suất Bitcoin (BTC) và Ethereum (ETH). Trong nghiên cứu hiện tại, lợi suất trái phiếu Chính phủ Mỹ kỳ hạn 2 năm (US2Y) được sử dụng làm chỉ báo đại diện cho diễn biến lãi suất và kỳ vọng kinh tế, thay vì được xem là thước đo trực tiếp của cú sốc chính sách tiền tệ.</w:t>
      </w:r>
    </w:p>
    <w:p w14:paraId="6FD1487B"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Tuy nhiên, phản ứng của tiền mã hóa không nhất thiết giống nhau trong mọi giai đoạn. Bitcoin từng được xem là phương tiện lưu trữ giá trị độc lập với hệ thống tiền tệ truyền thống, nhưng cũng có thể vận động như một tài sản đầu cơ có độ nhạy cao với thị trường tài chính. Vì vậy, dấu và cường độ tác động của cú sốc tiền tệ cần được kiểm định bằng dữ liệu thay vì giả định trước.</w:t>
      </w:r>
    </w:p>
    <w:p w14:paraId="4AD684FA" w14:textId="77777777" w:rsidR="00801403" w:rsidRDefault="00000000" w:rsidP="007404FF">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Karau (2023) cho thấy mối quan hệ giữa chính sách tiền tệ Mỹ và Bitcoin đã thay đổi theo thời gian: sau năm 2020, Bitcoin có xu hướng giảm giá sau các cú sốc thắt chặt tiền tệ, trong khi ở một số giai đoạn trước đó, phản ứng có thể mang dấu ngược lại.</w:t>
      </w:r>
    </w:p>
    <w:p w14:paraId="22B8530C"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này đặt nền tảng cho việc kiểm tra liệu phản ứng của BTC và ETH có thay đổi giữa các giai đoạn thị trường hay không.</w:t>
      </w:r>
    </w:p>
    <w:p w14:paraId="1456C03D"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1.1.2. Điều kiện tài chính toàn cầu và kênh truyền dẫn qua tài sản tài chính</w:t>
      </w:r>
    </w:p>
    <w:p w14:paraId="5F19A592"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kiện tài chính toàn cầu phản ánh mức độ dễ dàng tiếp cận vốn, mức độ bất ổn và thái độ chấp nhận rủi ro trên thị trường tài chính. Trong nghiên cứu này, các biến đại diện có thể bao gồm chỉ số biến động VIX, chỉ số đồng USD DXY, lợi suất trái phiếu Chính phủ Mỹ và chỉ số thị trường chứng khoán Mỹ.</w:t>
      </w:r>
    </w:p>
    <w:p w14:paraId="75F1C1D4"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VIX thường được sử dụng để đại diện cho kỳ vọng biến động của thị trường chứng khoán Mỹ. Khi VIX tăng, tâm lý bất ổn có thể gia tăng và nhà đầu tư có thể giảm mức độ tiếp xúc với tài sản rủi ro. DXY phản ánh sức mạnh tương đối của đồng USD; sự tăng giá của USD có thể đi kèm với việc điều kiện tài chính quốc tế trở nên chặt chẽ hơn. Trong khi đó, lợi suất trái phiếu Mỹ phản ánh một phần diễn biến lãi suất và kỳ vọng chính sách tiền tệ.</w:t>
      </w:r>
    </w:p>
    <w:p w14:paraId="56A5E284"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Tuy nhiên, không nên mặc định rằng mọi biến động của VIX, DXY hay lợi suất trái phiếu đều là cú sốc ngoại sinh. Chẳng hạn, VIX tăng có thể xuất phát từ cú sốc thị trường chứng khoán, còn lợi suất tăng có thể phản ánh cả thay đổi chính sách tiền tệ lẫn thông tin kinh tế tích cực. Do đó, cần phân biệt giữa mối quan hệ thống kê, khả năng dự báo và tác động nhân quả của một cú sốc được nhận diện.</w:t>
      </w:r>
    </w:p>
    <w:p w14:paraId="66137B47" w14:textId="77777777" w:rsidR="00186D4F" w:rsidRDefault="00186D4F" w:rsidP="00186D4F">
      <w:pPr>
        <w:spacing w:before="20" w:after="20" w:line="360" w:lineRule="auto"/>
        <w:ind w:right="360"/>
        <w:jc w:val="both"/>
        <w:rPr>
          <w:rFonts w:ascii="Times New Roman" w:eastAsia="Times New Roman" w:hAnsi="Times New Roman" w:cs="Times New Roman"/>
          <w:b/>
          <w:bCs/>
          <w:sz w:val="24"/>
          <w:szCs w:val="24"/>
          <w:lang w:val="en-US"/>
        </w:rPr>
      </w:pPr>
      <w:r w:rsidRPr="00186D4F">
        <w:rPr>
          <w:rFonts w:ascii="Times New Roman" w:eastAsia="Times New Roman" w:hAnsi="Times New Roman" w:cs="Times New Roman"/>
          <w:b/>
          <w:bCs/>
          <w:sz w:val="24"/>
          <w:szCs w:val="24"/>
        </w:rPr>
        <w:t>1.1.3. Sự khác biệt theo chân trời thời gian và trạng thái thị trường</w:t>
      </w:r>
    </w:p>
    <w:p w14:paraId="6EFB0A46" w14:textId="66E4796F"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mô hình tuyến tính thông thường giả định rằng một biến giải thích có tác động trung bình tương đối ổn định đến biến phụ thuộc. Tuy nhiên, thị trường tiền mã hóa có thể phản ứng khác nhau tùy theo mức độ căng thẳng tài chính, xu hướng tăng giảm của thị trường và thời điểm xảy ra cú sốc.</w:t>
      </w:r>
    </w:p>
    <w:p w14:paraId="2FC61166"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Ví dụ, mức tăng VIX có thể gây ra phản ứng tương đối nhỏ khi thị trường ổn định, nhưng gây ra phản ứng mạnh hơn khi nhà đầu tư đồng thời đối mặt với thanh khoản suy giảm và áp lực bán tháo. Tương tự, mối quan hệ giữa kỳ vọng lạm phát và Bitcoin có thể khác nhau giữa thị trường tăng và thị trường giảm.</w:t>
      </w:r>
    </w:p>
    <w:p w14:paraId="5C96342B"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Gaies và cộng sự (2024) cho thấy vai trò phòng ngừa rủi ro của Bitcoin và Ethereum phụ thuộc vào trạng thái thị trường; Bitcoin không phải lúc nào cũng phòng ngừa hiệu quả bất ổn tài chính, trong khi Ethereum dễ bị tổn thương hơn trước bất ổn tài chính ở các phân vị thị trường giảm.</w:t>
      </w:r>
    </w:p>
    <w:p w14:paraId="095C45B8"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Hsu, Cheng và Yang (2024) cũng nhấn mạnh rằng vai trò đa dạng hóa và phòng ngừa rủi ro của tiền mã hóa có thể thay đổi theo các điểm gãy cấu trúc của thị trường.</w:t>
      </w:r>
    </w:p>
    <w:p w14:paraId="283C48CA"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Vì vậy, ngoài việc ước lượng mối liên hệ trung bình, nghiên cứu xem xét sự thay đổi của các hệ số theo những chân trời dự báo khác nhau, giữa giai đoạn 2018–2019 và 2020–2025, cũng như giữa trạng thái thị trường bình thường (Calm) và căng thẳng (Stress). Cách tiếp cận này cho phép kiểm tra liệu mối liên hệ giữa các chỉ báo tài chính toàn cầu và lợi suất BTC, ETH có ổn định theo thời gian và trạng thái thị trường hay không.</w:t>
      </w:r>
    </w:p>
    <w:p w14:paraId="64FAC80C" w14:textId="2E88DF30"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1.1.4. </w:t>
      </w:r>
      <w:r w:rsidR="00186D4F" w:rsidRPr="00186D4F">
        <w:rPr>
          <w:rFonts w:ascii="Times New Roman" w:eastAsia="Times New Roman" w:hAnsi="Times New Roman" w:cs="Times New Roman"/>
          <w:b/>
          <w:bCs/>
          <w:sz w:val="24"/>
          <w:szCs w:val="24"/>
        </w:rPr>
        <w:t>Khả năng dự báo ngoài mẫu và giá trị gia tăng của biến tài chính toàn cầu</w:t>
      </w:r>
    </w:p>
    <w:p w14:paraId="03D96521"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Một biến có tương quan với lợi suất tiền mã hóa chưa chắc cải thiện được dự báo ngoài mẫu. Khả năng dự báo chỉ được xác lập khi mô hình sử dụng thông tin có sẵn tại thời điểm dự báo và đạt kết quả tốt hơn các mô hình chuẩn trên dữ liệu chưa được dùng để ước lượng.</w:t>
      </w:r>
    </w:p>
    <w:p w14:paraId="71662C75" w14:textId="68086212" w:rsidR="00801403" w:rsidRDefault="00000000" w:rsidP="007404FF">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Yae và Tian (2022) cho thấy một số biến dự báo có ý nghĩa trong mẫu không duy trì được khả năng dự báo ngoài mẫu; sự thay đổi trong tương quan với thị trường chứng khoán là một trong những tín hiệu dự báo có kết quả nổi bật trong nghiên cứu của họ.</w:t>
      </w:r>
      <w:r w:rsidR="007404FF">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Trong </w:t>
      </w:r>
      <w:r>
        <w:rPr>
          <w:rFonts w:ascii="Times New Roman" w:eastAsia="Times New Roman" w:hAnsi="Times New Roman" w:cs="Times New Roman"/>
          <w:sz w:val="24"/>
          <w:szCs w:val="24"/>
        </w:rPr>
        <w:lastRenderedPageBreak/>
        <w:t>khi đó, Lawuobahsumo, Algieri và Leccadito (2024) cho thấy các biến như VIX, chênh lệch lợi suất trái phiếu và kỳ vọng lạm phát có thể cải thiện dự báo rủi ro ở hai đuôi phân phối lợi suất tiền mã hóa.</w:t>
      </w:r>
    </w:p>
    <w:p w14:paraId="4FA4AA29"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Điều này gợi ý rằng nghiên cứu cần tách biệt hai mục tiêu: phân tích mối liên hệ động giữa các chỉ báo tài chính toàn cầu và lợi suất tiền mã hóa, đồng thời đánh giá giá trị dự báo ngoài mẫu của các biến này. Trong nghiên cứu hiện tại, mô hình học máy dự báo độ lớn lợi suất ngày kế tiếp, được đo bằng trị tuyệt đối của lợi suất log, chứ không trực tiếp dự báo Value-at-Risk (VaR), Expected Shortfall (ES) hoặc hướng tăng giảm của giá.</w:t>
      </w:r>
    </w:p>
    <w:p w14:paraId="47551A66"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Tổng quan bảy nghiên cứu thực nghiệm</w:t>
      </w:r>
    </w:p>
    <w:p w14:paraId="26E28769"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1.2.1. Nghiên cứu 1: Căng thẳng tài chính toàn cầu và thị trường tiền mã hóa của Colombage, Jayawardhana và Oatley (2025)</w:t>
      </w:r>
    </w:p>
    <w:p w14:paraId="5B717E24"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Global Financial Stress and Its Transmission to Cryptocurrency Markets: A Cointegration and Causality Approach phân tích mối liên hệ giữa căng thẳng tài chính toàn cầu và thị trường tiền mã hóa trong giai đoạn từ ngày 1/1/2017 đến 31/1/2025. Nhóm tác giả sử dụng chỉ số thị trường tiền mã hóa BGCI, chỉ số căng thẳng tài chính OFR-FSI, các chỉ số biến động như VIX, VVIX, VSTOXX, VVSTOXX và MOVE, cùng thị trường cổ phiếu, trái phiếu và hàng hóa. Các phương pháp được sử dụng bao gồm kiểm định nghiệm đơn vị, đồng liên kết, ARDL bounds, kiểm định nhân quả Toda–Yamamoto và mô hình Markov Switching hai trạng thái.</w:t>
      </w:r>
    </w:p>
    <w:p w14:paraId="2C01115B"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Điểm phù hợp với đề tài là nghiên cứu xem xét cả mối quan hệ dài hạn, quan hệ nhân quả theo nghĩa dự báo và sự thay đổi giữa các trạng thái thị trường. Đây là cơ sở để xây dựng hệ thống biến đại diện cho điều kiện tài chính toàn cầu, đồng thời cân nhắc các kiểm định động và mô hình phân biệt trạng thái bình thường với trạng thái căng thẳng.</w:t>
      </w:r>
    </w:p>
    <w:p w14:paraId="4075ADE4"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Tuy nhiên, nghiên cứu hiện tại tập trung riêng vào BTC và ETH, đồng thời xem xét mối liên hệ giữa lợi suất của hai tài sản này với các chỉ báo tài chính toàn cầu gồm US2Y, DXY và VIX. Do các biến này không được nhận diện thành những cú sốc ngoại sinh riêng biệt trong thiết kế thực nghiệm, kết quả được diễn giải là mối liên hệ thống kê và phản ứng động có điều kiện, thay vì tác động nhân quả của từng cú sốc.</w:t>
      </w:r>
    </w:p>
    <w:p w14:paraId="6740923C"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Ý nghĩa đối với đề tài: cung cấp cơ sở cho việc kiểm tra mối quan hệ giữa điều kiện tài chính toàn cầu và tiền mã hóa, cũng như khả năng tồn tại các chế độ thị trường khác nhau.</w:t>
      </w:r>
    </w:p>
    <w:p w14:paraId="3336EDDA"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1.2.2. Nghiên cứu 2: Phản ứng của Bitcoin và Ethereum trước lạm phát và bất ổn tài chính của Gaies và cộng sự (2024)</w:t>
      </w:r>
    </w:p>
    <w:p w14:paraId="5D4F86CE"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Nghiên cứu On the Resilience of Cryptocurrencies: A Quantile-Frequency Analysis of Bitcoin and Ethereum Reactions in Times of Inflation and Financial Instability xem xét phản ứng của Bitcoin và Ethereum trước kỳ vọng lạm phát và bất ổn tài chính. Nghiên cứu sử dụng dữ liệu ngày từ 16/4/2018 đến 14/4/2023, với tỷ lệ lạm phát hòa vốn kỳ hạn 5 năm và chỉ số căng thẳng tài chính Mỹ làm các biến đại diện; phương pháp bao gồm phân tích tương quan wavelet và tương quan theo phân vị.</w:t>
      </w:r>
    </w:p>
    <w:p w14:paraId="4EF37908"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cho thấy trong các giai đoạn biến động mạnh, việc điều chỉnh danh mục của nhà đầu tư theo kỳ vọng lạm phát có thể khiến giá Bitcoin tăng trong cả ngắn hạn và dài hạn. Tuy nhiên, khả năng phòng ngừa lạm phát của Bitcoin suy giảm trong thị trường giảm và Bitcoin không thể hiện là công cụ phòng ngừa đáng tin cậy trước bất ổn tài chính. Mối quan hệ giữa Ethereum và kỳ vọng lạm phát phụ thuộc vào bối cảnh; mức độ dễ tổn thương của Ethereum trước bất ổn tài chính tăng lên trong thị trường giảm.</w:t>
      </w:r>
    </w:p>
    <w:p w14:paraId="0B343AEC" w14:textId="6BB41EAC" w:rsidR="00801403" w:rsidRPr="00D17E9E" w:rsidRDefault="00000000" w:rsidP="00D17E9E">
      <w:pPr>
        <w:spacing w:before="20" w:after="20" w:line="360" w:lineRule="auto"/>
        <w:ind w:right="360" w:firstLine="720"/>
        <w:jc w:val="both"/>
        <w:rPr>
          <w:rFonts w:eastAsia="Times New Roman"/>
          <w:lang w:val="en-US"/>
        </w:rPr>
      </w:pPr>
      <w:r>
        <w:rPr>
          <w:rFonts w:ascii="Times New Roman" w:eastAsia="Times New Roman" w:hAnsi="Times New Roman" w:cs="Times New Roman"/>
          <w:sz w:val="24"/>
          <w:szCs w:val="24"/>
        </w:rPr>
        <w:t xml:space="preserve">Nghiên cứu này cho thấy việc chỉ ước lượng tác động trung bình có thể bỏ qua khác biệt giữa các trạng thái phân phối. </w:t>
      </w:r>
      <w:r w:rsidR="00D17E9E" w:rsidRPr="00D17E9E">
        <w:rPr>
          <w:rFonts w:eastAsia="Times New Roman"/>
          <w:lang w:val="en-US"/>
        </w:rPr>
        <w:t>Đối với đề tài hiện tại, kết quả là cơ sở để kiểm định liệu mối liên hệ giữa các chỉ báo tài chính toàn cầu và lợi suất BTC, ETH có khác biệt giữa trạng thái Calm và Stress hay không. Nghiên cứu sử dụng tương tác giữa các biến tài chính và biến trạng thái thị trường để kiểm tra trực tiếp sự khác biệt về hệ số, thay vì mặc định rằng mối liên hệ sẽ mạnh hơn trong trạng thái căng thẳng.</w:t>
      </w:r>
      <w:r>
        <w:rPr>
          <w:rFonts w:ascii="Times New Roman" w:eastAsia="Times New Roman" w:hAnsi="Times New Roman" w:cs="Times New Roman"/>
          <w:sz w:val="24"/>
          <w:szCs w:val="24"/>
        </w:rPr>
        <w:t xml:space="preserve"> </w:t>
      </w:r>
    </w:p>
    <w:p w14:paraId="6DC526CE"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1.2.3. Nghiên cứu 3: Đặc tính đa dạng hóa, phòng vệ và tài sản trú ẩn của Hsu, Cheng và Yang (2024)</w:t>
      </w:r>
    </w:p>
    <w:p w14:paraId="3F6E9A15"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Diversification, Hedging, and Safe-Haven Characteristics of Cryptocurrencies: A Structural Change Approach đánh giá đặc tính đa dạng hóa danh mục, phòng ngừa rủi ro và tài sản trú ẩn an toàn của Bitcoin và Ethereum so với vàng, DXY, các chỉ số chứng khoán, dầu và chỉ số hàng hóa. Nghiên cứu sử dụng dữ liệu từ 7/8/2015 đến 15/8/2022, kết hợp mô hình DCC–ARMA–GARCH với kiểm định CUSUM để xác định sự thay đổi cấu trúc và ước lượng tương quan có điều kiện theo từng giai đoạn.</w:t>
      </w:r>
    </w:p>
    <w:p w14:paraId="1119EB2D"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cho thấy việc đánh giá đặc tính của tiền mã hóa trên toàn bộ mẫu hoặc chỉ dựa vào một số sự kiện lớn có thể không phản ánh đầy đủ sự thay đổi theo thời gian. Bitcoin và Ethereum có thể đảm nhận những vai trò khác nhau đối với từng loại tài sản trong các giai đoạn được phân tách bởi điểm gãy cấu trúc. Nhóm tác giả cho rằng việc đưa sự thay đổi cấu trúc vào mô hình giúp mô tả tốt hơn mối quan hệ giữa các tài sản trong điều kiện biến động cao.</w:t>
      </w:r>
    </w:p>
    <w:p w14:paraId="2A5FE521"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đề tài hiện tại, nghiên cứu này cung cấp cơ sở cho việc kiểm tra sự thay đổi của hệ số truyền dẫn theo thời gian. Tuy nhiên, điểm gãy cấu trúc không nhất thiết trùng </w:t>
      </w:r>
      <w:r>
        <w:rPr>
          <w:rFonts w:ascii="Times New Roman" w:eastAsia="Times New Roman" w:hAnsi="Times New Roman" w:cs="Times New Roman"/>
          <w:sz w:val="24"/>
          <w:szCs w:val="24"/>
        </w:rPr>
        <w:lastRenderedPageBreak/>
        <w:t>với năm 2020. Vì vậy, nghiên cứu có thể sử dụng giai đoạn trước và sau năm 2020 làm kiểm định theo giả thuyết, đồng thời cân nhắc kiểm định điểm gãy từ dữ liệu để tránh áp đặt một mốc thời gian không phù hợp.</w:t>
      </w:r>
    </w:p>
    <w:p w14:paraId="3BE5FD47"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1.2.4. Nghiên cứu 4: Chính sách tiền tệ và Bitcoin của Karau (2023)</w:t>
      </w:r>
    </w:p>
    <w:p w14:paraId="013261EA"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Monetary Policy and Bitcoin phân tích tác động của chính sách tiền tệ Mỹ đến Bitcoin bằng hai cách tiếp cận. Thứ nhất, tác giả sử dụng dữ liệu tần suất cao quanh thời điểm công bố của FOMC để nghiên cứu phản ứng tức thời của giá Bitcoin. Thứ hai, tác giả sử dụng mô hình SVAR kết hợp công cụ bên ngoài để nhận diện cú sốc chính sách tiền tệ và phân tích phản ứng động trong thời gian dài hơn.</w:t>
      </w:r>
    </w:p>
    <w:p w14:paraId="04E30EAD"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cho thấy Bitcoin không phản ứng tức thời một cách có hệ thống với thông báo chính sách tiền tệ trong giai đoạn đầu của thị trường, nhưng bắt đầu phản ứng rõ hơn từ cuối năm 2020. Trong giai đoạn sau năm 2020, cú sốc thắt chặt tiền tệ của Mỹ làm giá Bitcoin giảm và tác động có thể kéo dài nhiều tháng. Ngược lại, trong một số giai đoạn trước đó, giá Bitcoin lại tăng sau cú sốc thắt chặt. Tác giả liên hệ sự khác biệt này với thay đổi trong vai trò của Bitcoin và nhu cầu chuyển giá trị xuyên biên giới, đặc biệt ở một số nền kinh tế Đông Á.</w:t>
      </w:r>
    </w:p>
    <w:p w14:paraId="6925DE17" w14:textId="77777777" w:rsidR="00D17E9E" w:rsidRPr="00D17E9E" w:rsidRDefault="00000000" w:rsidP="00D17E9E">
      <w:pPr>
        <w:spacing w:before="20" w:after="20" w:line="360" w:lineRule="auto"/>
        <w:ind w:right="360" w:firstLine="720"/>
        <w:jc w:val="both"/>
        <w:rPr>
          <w:rFonts w:eastAsia="Times New Roman"/>
          <w:lang w:val="en-US"/>
        </w:rPr>
      </w:pPr>
      <w:r>
        <w:rPr>
          <w:rFonts w:ascii="Times New Roman" w:eastAsia="Times New Roman" w:hAnsi="Times New Roman" w:cs="Times New Roman"/>
          <w:sz w:val="24"/>
          <w:szCs w:val="24"/>
        </w:rPr>
        <w:t xml:space="preserve">Đây là nghiên cứu nền tảng trực tiếp cho câu hỏi về tác động của cú sốc tiền tệ và sự thay đổi của cơ chế truyền dẫn theo thời gian. </w:t>
      </w:r>
      <w:r w:rsidR="00D17E9E" w:rsidRPr="00D17E9E">
        <w:rPr>
          <w:rFonts w:eastAsia="Times New Roman"/>
          <w:lang w:val="en-US"/>
        </w:rPr>
        <w:t>Nghiên cứu của Karau (2023) cung cấp cơ sở lý thuyết cho việc xem xét mối liên hệ giữa chính sách tiền tệ Mỹ và thị trường tiền mã hóa, đồng thời nhấn mạnh tầm quan trọng của việc nhận diện cú sốc chính sách. Tuy nhiên, do nghiên cứu hiện tại chưa có chuỗi MPS đầy đủ cho toàn bộ giai đoạn thực nghiệm, mô hình sử dụng thay đổi lợi suất trái phiếu Mỹ kỳ hạn 2 năm (US2Y) làm chỉ báo đại diện cho diễn biến lãi suất. Vì vậy, kết quả không được diễn giải là phản ứng nhân quả của BTC và ETH trước một cú sốc chính sách tiền tệ đã được nhận diện.</w:t>
      </w:r>
    </w:p>
    <w:p w14:paraId="15B6ACF6" w14:textId="6CC600F4" w:rsidR="00801403" w:rsidRDefault="00801403">
      <w:pPr>
        <w:spacing w:before="20" w:after="20" w:line="360" w:lineRule="auto"/>
        <w:ind w:right="360" w:firstLine="720"/>
        <w:jc w:val="both"/>
        <w:rPr>
          <w:rFonts w:ascii="Times New Roman" w:eastAsia="Times New Roman" w:hAnsi="Times New Roman" w:cs="Times New Roman"/>
          <w:sz w:val="24"/>
          <w:szCs w:val="24"/>
        </w:rPr>
      </w:pPr>
    </w:p>
    <w:p w14:paraId="1C161B7D"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1.2.5. Nghiên cứu 5: Chính sách tiền tệ, tài sản số và hoạt động DeFi của Kyriazis và cộng sự (2023)</w:t>
      </w:r>
    </w:p>
    <w:p w14:paraId="172954DF"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Monetary Policy, Digital Assets, and DeFi Activity phân tích tác động của những thay đổi bất ngờ trong chính sách tiền tệ Mỹ đến lợi suất tài sản số và hoạt động tài chính phi tập trung (DeFi). Nhóm tác giả sử dụng hồi quy nghiên cứu sự kiện tại các ngày công bố FOMC trong giai đoạn 1/1/2018–21/12/2022, kết hợp dữ liệu giá tần suất cao để phân tích biến động quanh thời điểm công bố thông báo và biên bản FOMC.</w:t>
      </w:r>
    </w:p>
    <w:p w14:paraId="27A9BF7D"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Kết quả cho thấy những bất ngờ theo hướng tăng lãi suất có tác động âm và có ý nghĩa thống kê đến lợi suất BTC và ETH. Thông báo FOMC làm tăng biến động lợi suất </w:t>
      </w:r>
      <w:r>
        <w:rPr>
          <w:rFonts w:ascii="Times New Roman" w:eastAsia="Times New Roman" w:hAnsi="Times New Roman" w:cs="Times New Roman"/>
          <w:sz w:val="24"/>
          <w:szCs w:val="24"/>
        </w:rPr>
        <w:lastRenderedPageBreak/>
        <w:t>của các tài sản số được nghiên cứu, trong đó tác động của thông báo chính sách mạnh hơn tác động của việc công bố biên bản. Hiệu ứng biến động cũng mạnh hơn sau tháng 12/2021, khi Fed chuyển sang chính sách chống lạm phát.</w:t>
      </w:r>
    </w:p>
    <w:p w14:paraId="17490EE7" w14:textId="77777777" w:rsidR="00D17E9E" w:rsidRPr="00D17E9E" w:rsidRDefault="00000000" w:rsidP="00D17E9E">
      <w:pPr>
        <w:spacing w:before="20" w:after="20" w:line="360" w:lineRule="auto"/>
        <w:ind w:right="360" w:firstLine="720"/>
        <w:jc w:val="both"/>
        <w:rPr>
          <w:rFonts w:eastAsia="Times New Roman"/>
          <w:lang w:val="en-US"/>
        </w:rPr>
      </w:pPr>
      <w:r>
        <w:rPr>
          <w:rFonts w:ascii="Times New Roman" w:eastAsia="Times New Roman" w:hAnsi="Times New Roman" w:cs="Times New Roman"/>
          <w:sz w:val="24"/>
          <w:szCs w:val="24"/>
        </w:rPr>
        <w:t xml:space="preserve">Nghiên cứu này hỗ trợ việc sử dụng dữ liệu cú sốc chính sách tiền tệ thay vì chỉ sử dụng mức lãi suất danh nghĩa. Đây là khác biệt quan trọng vì thay đổi lãi suất được thị trường dự đoán trước không mang cùng hàm lượng thông tin với một quyết định bất ngờ. </w:t>
      </w:r>
      <w:r w:rsidR="00D17E9E" w:rsidRPr="00D17E9E">
        <w:rPr>
          <w:rFonts w:eastAsia="Times New Roman"/>
          <w:lang w:val="en-US"/>
        </w:rPr>
        <w:t>Nghiên cứu này cho thấy giá trị của việc sử dụng dữ liệu bất ngờ chính sách tiền tệ để phân tích phản ứng của tài sản số. Tuy nhiên, nghiên cứu hiện tại không triển khai nghiên cứu sự kiện FOMC do chưa có chuỗi MPS đầy đủ cho toàn bộ mẫu. Thay vào đó, nghiên cứu sử dụng US2Y, DXY và VIX để phân tích mối liên hệ động với lợi suất BTC và ETH, đồng thời kiểm tra sự khác biệt giữa các giai đoạn và trạng thái thị trường.</w:t>
      </w:r>
    </w:p>
    <w:p w14:paraId="3623D509" w14:textId="68CD6F1C" w:rsidR="00801403" w:rsidRDefault="00801403">
      <w:pPr>
        <w:spacing w:before="20" w:after="20" w:line="360" w:lineRule="auto"/>
        <w:ind w:right="360" w:firstLine="720"/>
        <w:jc w:val="both"/>
        <w:rPr>
          <w:rFonts w:ascii="Times New Roman" w:eastAsia="Times New Roman" w:hAnsi="Times New Roman" w:cs="Times New Roman"/>
          <w:sz w:val="24"/>
          <w:szCs w:val="24"/>
        </w:rPr>
      </w:pPr>
    </w:p>
    <w:p w14:paraId="17B07DB5"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1.2.6. Nghiên cứu 6: Biến vĩ mô và dự báo rủi ro cực đoan của Lawuobahsumo, Algieri và Leccadito (2024)</w:t>
      </w:r>
    </w:p>
    <w:p w14:paraId="68D34E83"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Forecasting Cryptocurrencies Returns: Do Macroeconomic and Financial Variables Improve Tail Expectation Predictions? xem xét liệu các biến kinh tế vĩ mô và tài chính có cải thiện khả năng dự báo rủi ro ở hai đuôi phân phối lợi suất tiền mã hóa hay không. Nghiên cứu xem xét BTC, ETH, XRP, DOGE và LTC, dự báo Value-at-Risk (VaR) và Expected Shortfall (ES) cho một và năm bước thời gian phía trước. Phương pháp chính là mạng nơ-ron hồi quy phân vị tổng hợp đơn điệu (MCQRNN), được so sánh với mô phỏng lịch sử và mô hình ARMA(1,1)-GARCH(1,1).</w:t>
      </w:r>
    </w:p>
    <w:p w14:paraId="0D77D58E"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cho thấy các mô hình MCQRNN được bổ sung biến vĩ mô và tài chính nhìn chung có khả năng dự báo VaR và ES tốt hơn các mô hình chuẩn. Đặc biệt, VIX, chênh lệch lợi suất trái phiếu và kỳ vọng lạm phát giúp cải thiện dự báo các mức lợi suất cực đoan. Tuy nhiên, mức độ vượt trội không hoàn toàn đồng nhất giữa các đồng tiền mã hóa, chân trời dự báo và vị thế giao dịch.</w:t>
      </w:r>
    </w:p>
    <w:p w14:paraId="24036B57" w14:textId="77777777" w:rsid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Nghiên cứu này cung cấp cơ sở cho việc đánh giá giá trị dự báo ngoài mẫu của các biến tài chính toàn cầu. Tuy nhiên, khác với nghiên cứu của Lawuobahsumo và cộng sự (2024), mô hình học máy trong đề tài hiện tại không trực tiếp dự báo VaR hoặc ES. Biến mục tiêu là độ lớn lợi suất log ngày kế tiếp, được đo bằng trị tuyệt đối lợi suất. Vì vậy, kết quả chỉ cho phép đánh giá khả năng dự báo độ lớn lợi suất trong một ngày, không đủ để kết luận rằng mô hình cải thiện dự báo rủi ro đuôi.</w:t>
      </w:r>
    </w:p>
    <w:p w14:paraId="3F85532D"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p>
    <w:p w14:paraId="3239BE40" w14:textId="77777777" w:rsidR="00D17E9E" w:rsidRPr="00D17E9E" w:rsidRDefault="00D17E9E" w:rsidP="00D17E9E">
      <w:pPr>
        <w:spacing w:before="20" w:after="20" w:line="360" w:lineRule="auto"/>
        <w:ind w:right="360"/>
        <w:jc w:val="both"/>
        <w:rPr>
          <w:rFonts w:ascii="Times New Roman" w:eastAsia="Times New Roman" w:hAnsi="Times New Roman" w:cs="Times New Roman"/>
          <w:sz w:val="24"/>
          <w:szCs w:val="24"/>
          <w:lang w:val="en-US"/>
        </w:rPr>
      </w:pPr>
    </w:p>
    <w:p w14:paraId="76B8F239"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1.2.7. Nghiên cứu 7: Dự báo ngoài mẫu lợi suất tiền mã hóa của Yae và Tian (2022)</w:t>
      </w:r>
    </w:p>
    <w:p w14:paraId="30317DE7"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Out-of-Sample Forecasting of Cryptocurrency Returns: A Comprehensive Comparison of Predictors and Algorithms so sánh nhiều biến dự báo và thuật toán dự báo lợi suất của Bitcoin, Ethereum và Ripple. Trọng tâm của nghiên cứu là đánh giá ngoài mẫu nhằm hạn chế nguy cơ kết luận quá lạc quan từ kết quả ước lượng trong mẫu.</w:t>
      </w:r>
    </w:p>
    <w:p w14:paraId="75B7D0DF" w14:textId="77777777" w:rsidR="00801403" w:rsidRDefault="00000000" w:rsidP="007404FF">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cho thấy một số biến thường được xem là hữu ích trong mẫu, chẳng hạn sự chú ý của nhà đầu tư và khối lượng giao dịch, không duy trì được khả năng dự báo có ý nghĩa ngoài mẫu. Sự thay đổi trong tương quan với thị trường chứng khoán là một trong những biến dự báo có kết quả nổi bật; các phương pháp dựa trên cơ chế kinh tế cũng cho kết quả tốt hơn nhiều thuật toán dự báo phổ dụng trong thiết kế nghiên cứu của nhóm tác giả.</w:t>
      </w:r>
    </w:p>
    <w:p w14:paraId="27D4DF91" w14:textId="77777777" w:rsidR="00801403" w:rsidRDefault="00000000">
      <w:pPr>
        <w:spacing w:before="20" w:after="20" w:line="360" w:lineRule="auto"/>
        <w:ind w:right="36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Nghiên cứu này nhấn mạnh rằng lựa chọn mô hình không nên chỉ dựa trên độ phù hợp với dữ liệu lịch sử. Đối với đề tài hiện tại, mô hình dự báo cần có mô hình chuẩn, quy trình chia dữ liệu theo thời gian và đánh giá trên tập dữ liệu chưa sử dụng trong quá trình huấn luyện. Mô hình học máy chỉ nên được giữ lại nếu chứng minh được giá trị gia tăng so với mô hình đơn giản hơn.</w:t>
      </w:r>
    </w:p>
    <w:p w14:paraId="2C918E86"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Tổng hợp nghiên cứu trước và khoảng trống nghiên cứu</w:t>
      </w:r>
    </w:p>
    <w:p w14:paraId="67158424" w14:textId="696E0ACC" w:rsidR="00801403" w:rsidRDefault="007404FF">
      <w:pPr>
        <w:spacing w:before="20" w:after="20" w:line="360" w:lineRule="auto"/>
        <w:ind w:right="360" w:firstLine="720"/>
        <w:jc w:val="both"/>
        <w:rPr>
          <w:rFonts w:ascii="Times New Roman" w:eastAsia="Times New Roman" w:hAnsi="Times New Roman" w:cs="Times New Roman"/>
          <w:sz w:val="24"/>
          <w:szCs w:val="24"/>
          <w:lang w:val="en-US"/>
        </w:rPr>
      </w:pPr>
      <w:r w:rsidRPr="007404FF">
        <w:rPr>
          <w:rFonts w:ascii="Times New Roman" w:eastAsia="Times New Roman" w:hAnsi="Times New Roman" w:cs="Times New Roman"/>
          <w:sz w:val="24"/>
          <w:szCs w:val="24"/>
        </w:rPr>
        <w:t>Từ bảy nghiên cứu trên, có thể rút ra ba hướng chính. Thứ nhất, các nghiên cứu về chính sách tiền tệ cho thấy thông tin tiền tệ có thể liên quan đến lợi suất và biến động BTC/ETH, nhưng việc nhận diện cú sốc chính sách đòi hỏi dữ liệu và giả định riêng. Thứ hai, các nghiên cứu về điều kiện tài chính cho thấy mối liên hệ giữa tiền mã hóa với USD, biến động thị trường và các tài sản truyền thống có thể thay đổi theo thời gian và trạng thái thị trường. Thứ ba, các nghiên cứu dự báo nhấn mạnh rằng giá trị của biến vĩ mô phải được đánh giá ngoài mẫu so với mô hình chuẩn</w:t>
      </w:r>
      <w:r>
        <w:rPr>
          <w:rFonts w:ascii="Times New Roman" w:eastAsia="Times New Roman" w:hAnsi="Times New Roman" w:cs="Times New Roman"/>
          <w:sz w:val="24"/>
          <w:szCs w:val="24"/>
        </w:rPr>
        <w:t>.</w:t>
      </w:r>
    </w:p>
    <w:p w14:paraId="1AE972E5"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Các nghiên cứu trước tạo cơ sở lý thuyết và thực nghiệm cho việc xem xét mối liên hệ giữa điều kiện tài chính toàn cầu và thị trường tiền mã hóa. Tuy nhiên, vẫn cần kết nối ba khía cạnh trong cùng một thiết kế thực nghiệm.</w:t>
      </w:r>
    </w:p>
    <w:p w14:paraId="08E975DD"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Thứ nhất, cần xem xét đồng thời mối liên hệ giữa lợi suất BTC, ETH với các chỉ báo đại diện cho điều kiện lãi suất, sức mạnh đồng USD và rủi ro thị trường, lần lượt là US2Y, DXY và VIX. Việc sử dụng các chỉ báo này giúp mô tả mối liên hệ với điều kiện tài chính toàn cầu, nhưng không thay thế cho việc nhận diện riêng các cú sốc ngoại sinh.</w:t>
      </w:r>
    </w:p>
    <w:p w14:paraId="7F5B5B60"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lastRenderedPageBreak/>
        <w:t>Thứ hai, cần kiểm tra tính động của các mối liên hệ thông qua các chân trời dự báo khác nhau, đồng thời đánh giá liệu hệ số có khác biệt giữa giai đoạn 2018–2019 và 2020–2025, cũng như giữa trạng thái Calm và Stress hay không. Các khác biệt này cần được kiểm định trực tiếp và diễn giải dựa trên độ lớn hệ số, khoảng tin cậy và kết quả hiệu chỉnh khi thực hiện nhiều phép kiểm định.</w:t>
      </w:r>
    </w:p>
    <w:p w14:paraId="6ECD65A3"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Thứ ba, cần đánh giá liệu việc bổ sung thông tin tài chính toàn cầu có cải thiện dự báo ngoài mẫu hay không. Đối với đề tài hiện tại, mục tiêu dự báo là độ lớn lợi suất ngày kế tiếp của BTC và ETH, thay vì trực tiếp dự báo hướng giá, VaR hoặc ES. Giá trị gia tăng được đánh giá bằng cách so sánh bộ đặc trưng Crypto-only với bộ Crypto + Macro trên cùng tập kiểm tra ngoài mẫu.</w:t>
      </w:r>
    </w:p>
    <w:p w14:paraId="58C1107B" w14:textId="77777777" w:rsidR="00D17E9E" w:rsidRPr="00D17E9E" w:rsidRDefault="00D17E9E" w:rsidP="00D17E9E">
      <w:pPr>
        <w:spacing w:before="20" w:after="20" w:line="360" w:lineRule="auto"/>
        <w:ind w:right="360" w:firstLine="720"/>
        <w:jc w:val="both"/>
        <w:rPr>
          <w:rFonts w:ascii="Times New Roman" w:eastAsia="Times New Roman" w:hAnsi="Times New Roman" w:cs="Times New Roman"/>
          <w:sz w:val="24"/>
          <w:szCs w:val="24"/>
          <w:lang w:val="en-US"/>
        </w:rPr>
      </w:pPr>
      <w:r w:rsidRPr="00D17E9E">
        <w:rPr>
          <w:rFonts w:ascii="Times New Roman" w:eastAsia="Times New Roman" w:hAnsi="Times New Roman" w:cs="Times New Roman"/>
          <w:sz w:val="24"/>
          <w:szCs w:val="24"/>
          <w:lang w:val="en-US"/>
        </w:rPr>
        <w:t>Trên cơ sở đó, nghiên cứu kết hợp mô hình VAR, hàm phản ứng xung (IRF), kiểm định Granger và Local Projections để phân tích mối liên hệ động; sử dụng các mô hình tương tác để kiểm tra sự khác biệt giữa các giai đoạn và trạng thái thị trường; đồng thời triển khai Elastic Net và XGBoost để đánh giá giá trị dự báo ngoài mẫu. Đóng góp của nghiên cứu nằm ở việc đặt phân tích mối liên hệ động, khác biệt theo trạng thái thị trường và đánh giá giá trị dự báo trong một khuôn khổ thống nhất, đồng thời giới hạn kết luận theo đúng phạm vi mà dữ liệu và phương pháp cho phép.</w:t>
      </w:r>
    </w:p>
    <w:p w14:paraId="148C480D" w14:textId="77777777" w:rsidR="00D17E9E" w:rsidRPr="00D17E9E" w:rsidRDefault="00D17E9E">
      <w:pPr>
        <w:spacing w:before="20" w:after="20" w:line="360" w:lineRule="auto"/>
        <w:ind w:right="360" w:firstLine="720"/>
        <w:jc w:val="both"/>
        <w:rPr>
          <w:rFonts w:ascii="Times New Roman" w:eastAsia="Times New Roman" w:hAnsi="Times New Roman" w:cs="Times New Roman"/>
          <w:sz w:val="24"/>
          <w:szCs w:val="24"/>
          <w:lang w:val="en-US"/>
        </w:rPr>
      </w:pPr>
    </w:p>
    <w:p w14:paraId="0E1706E8"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Câu hỏi nghiên cứu RQ1–RQ5 và giả thuyết</w:t>
      </w:r>
    </w:p>
    <w:p w14:paraId="7531EEA9" w14:textId="77777777" w:rsidR="00186D4F" w:rsidRPr="00186D4F" w:rsidRDefault="00000000" w:rsidP="00186D4F">
      <w:pPr>
        <w:spacing w:before="20" w:after="20" w:line="360" w:lineRule="auto"/>
        <w:ind w:right="36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 xml:space="preserve">2.1. RQ1. </w:t>
      </w:r>
      <w:r w:rsidR="00186D4F" w:rsidRPr="00186D4F">
        <w:rPr>
          <w:rFonts w:ascii="Times New Roman" w:eastAsia="Times New Roman" w:hAnsi="Times New Roman" w:cs="Times New Roman"/>
          <w:b/>
          <w:bCs/>
          <w:sz w:val="24"/>
          <w:szCs w:val="24"/>
          <w:lang w:val="en-US"/>
        </w:rPr>
        <w:t>Mối liên hệ giữa thay đổi lợi suất trái phiếu Mỹ và lợi suất tiền mã hóa</w:t>
      </w:r>
    </w:p>
    <w:p w14:paraId="1A8F883D" w14:textId="77777777" w:rsidR="00186D4F" w:rsidRPr="00186D4F" w:rsidRDefault="00186D4F" w:rsidP="00186D4F">
      <w:pPr>
        <w:spacing w:line="360" w:lineRule="auto"/>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Câu hỏi nghiên cứu (RQ1):</w:t>
      </w:r>
      <w:r w:rsidRPr="00186D4F">
        <w:rPr>
          <w:rFonts w:ascii="Times New Roman" w:eastAsia="Times New Roman" w:hAnsi="Times New Roman" w:cs="Times New Roman"/>
          <w:sz w:val="24"/>
          <w:szCs w:val="24"/>
          <w:lang w:val="en-US"/>
        </w:rPr>
        <w:t xml:space="preserve"> Sự thay đổi lợi suất trái phiếu Chính phủ Mỹ kỳ hạn 2 năm có mối liên hệ như thế nào với lợi suất Bitcoin và Ethereum?</w:t>
      </w:r>
    </w:p>
    <w:p w14:paraId="0F6A5452" w14:textId="77777777" w:rsidR="00186D4F" w:rsidRPr="00186D4F" w:rsidRDefault="00186D4F" w:rsidP="00186D4F">
      <w:pPr>
        <w:spacing w:line="360" w:lineRule="auto"/>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Giả thuyết H1:</w:t>
      </w:r>
      <w:r w:rsidRPr="00186D4F">
        <w:rPr>
          <w:rFonts w:ascii="Times New Roman" w:eastAsia="Times New Roman" w:hAnsi="Times New Roman" w:cs="Times New Roman"/>
          <w:sz w:val="24"/>
          <w:szCs w:val="24"/>
          <w:lang w:val="en-US"/>
        </w:rPr>
        <w:t xml:space="preserve"> Sự thay đổi lợi suất trái phiếu Chính phủ Mỹ kỳ hạn 2 năm có mối liên hệ âm với lợi suất Bitcoin và Ethereum.</w:t>
      </w:r>
    </w:p>
    <w:p w14:paraId="7D317E30" w14:textId="77777777" w:rsidR="00186D4F" w:rsidRPr="00186D4F" w:rsidRDefault="00186D4F" w:rsidP="00186D4F">
      <w:pPr>
        <w:spacing w:line="360" w:lineRule="auto"/>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Cơ sở lập luận:</w:t>
      </w:r>
      <w:r w:rsidRPr="00186D4F">
        <w:rPr>
          <w:rFonts w:ascii="Times New Roman" w:eastAsia="Times New Roman" w:hAnsi="Times New Roman" w:cs="Times New Roman"/>
          <w:sz w:val="24"/>
          <w:szCs w:val="24"/>
          <w:lang w:val="en-US"/>
        </w:rPr>
        <w:t xml:space="preserve"> US2Y phản ánh một phần kỳ vọng về lộ trình lãi suất, lạm phát và triển vọng kinh tế Mỹ. Sự gia tăng lợi suất có thể đi kèm với thay đổi trong chi phí vốn và khẩu vị rủi ro, qua đó có mối liên hệ với lợi suất BTC và ETH. Tuy nhiên, US2Y không phải thước đo trực tiếp của bất ngờ chính sách tiền tệ và không tách riêng được ảnh hưởng của chính sách tiền tệ khỏi các thông tin kinh tế khác. Vì vậy, kết quả được diễn giải là mối liên hệ thống kê, không phải tác động nhân quả của cú sốc Fed đã được nhận diện.</w:t>
      </w:r>
    </w:p>
    <w:p w14:paraId="30F32E69" w14:textId="75128AC5" w:rsidR="003F2CD1" w:rsidRDefault="00000000" w:rsidP="00D17E9E">
      <w:p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 xml:space="preserve">2.2. RQ2. </w:t>
      </w:r>
      <w:r w:rsidR="003F2CD1" w:rsidRPr="003F2CD1">
        <w:rPr>
          <w:rFonts w:ascii="Times New Roman" w:eastAsia="Times New Roman" w:hAnsi="Times New Roman" w:cs="Times New Roman"/>
          <w:b/>
          <w:bCs/>
          <w:sz w:val="24"/>
          <w:szCs w:val="24"/>
        </w:rPr>
        <w:t>Mối liên hệ giữa USD, rủi ro thị trường và lợi suất tiền mã hóa</w:t>
      </w:r>
    </w:p>
    <w:p w14:paraId="55B48A04" w14:textId="5BE9BC8C" w:rsidR="00BD4DA3" w:rsidRPr="00BD4DA3" w:rsidRDefault="00000000" w:rsidP="00BD4DA3">
      <w:pPr>
        <w:spacing w:before="20" w:after="20" w:line="360" w:lineRule="auto"/>
        <w:ind w:right="360"/>
        <w:jc w:val="both"/>
        <w:rPr>
          <w:rFonts w:eastAsia="Times New Roman"/>
          <w:lang w:val="en-US"/>
        </w:rPr>
      </w:pPr>
      <w:r>
        <w:rPr>
          <w:rFonts w:ascii="Times New Roman" w:eastAsia="Times New Roman" w:hAnsi="Times New Roman" w:cs="Times New Roman"/>
          <w:sz w:val="24"/>
          <w:szCs w:val="24"/>
        </w:rPr>
        <w:lastRenderedPageBreak/>
        <w:t>Câu hỏi nghiên cứu (RQ2</w:t>
      </w:r>
      <w:r w:rsidR="00BD4DA3">
        <w:rPr>
          <w:rFonts w:ascii="Times New Roman" w:eastAsia="Times New Roman" w:hAnsi="Times New Roman" w:cs="Times New Roman"/>
          <w:sz w:val="24"/>
          <w:szCs w:val="24"/>
          <w:lang w:val="en-US"/>
        </w:rPr>
        <w:t>):</w:t>
      </w:r>
      <w:r w:rsidR="00BD4DA3" w:rsidRPr="00BD4DA3">
        <w:rPr>
          <w:rFonts w:ascii="Times New Roman" w:eastAsia="Times New Roman" w:hAnsi="Times New Roman" w:cs="Times New Roman"/>
          <w:sz w:val="24"/>
          <w:szCs w:val="24"/>
          <w:lang w:val="en-US"/>
        </w:rPr>
        <w:t xml:space="preserve"> </w:t>
      </w:r>
      <w:r w:rsidR="00BD4DA3" w:rsidRPr="00BD4DA3">
        <w:rPr>
          <w:rFonts w:eastAsia="Times New Roman"/>
          <w:lang w:val="en-US"/>
        </w:rPr>
        <w:t>Những thay đổi của chỉ số đô la Mỹ (DXY) và chỉ số biến động thị trường (VIX) có mối liên hệ như thế nào với lợi suất BTC và ETH, và mối liên hệ này thay đổi theo các khoảng thời gian dự báo ra sao?</w:t>
      </w:r>
    </w:p>
    <w:p w14:paraId="4491BBF5" w14:textId="0A1F98F8" w:rsidR="00801403" w:rsidRDefault="00000000">
      <w:pPr>
        <w:spacing w:before="20" w:after="20" w:line="360" w:lineRule="auto"/>
        <w:ind w:righ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Giả thuyết H2:</w:t>
      </w:r>
    </w:p>
    <w:p w14:paraId="4CE148C2" w14:textId="77777777" w:rsidR="00186D4F" w:rsidRPr="00186D4F" w:rsidRDefault="00186D4F" w:rsidP="00186D4F">
      <w:pPr>
        <w:numPr>
          <w:ilvl w:val="0"/>
          <w:numId w:val="5"/>
        </w:numPr>
        <w:spacing w:before="20" w:after="20" w:line="360" w:lineRule="auto"/>
        <w:ind w:right="360"/>
        <w:jc w:val="both"/>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H2a:</w:t>
      </w:r>
      <w:r w:rsidRPr="00186D4F">
        <w:rPr>
          <w:rFonts w:ascii="Times New Roman" w:eastAsia="Times New Roman" w:hAnsi="Times New Roman" w:cs="Times New Roman"/>
          <w:sz w:val="24"/>
          <w:szCs w:val="24"/>
          <w:lang w:val="en-US"/>
        </w:rPr>
        <w:t xml:space="preserve"> Sự tăng giá của USD có mối liên hệ âm với lợi suất Bitcoin và Ethereum.</w:t>
      </w:r>
    </w:p>
    <w:p w14:paraId="79B10DA5" w14:textId="77777777" w:rsidR="00186D4F" w:rsidRPr="00186D4F" w:rsidRDefault="00186D4F" w:rsidP="00186D4F">
      <w:pPr>
        <w:numPr>
          <w:ilvl w:val="0"/>
          <w:numId w:val="5"/>
        </w:numPr>
        <w:spacing w:before="20" w:after="20" w:line="360" w:lineRule="auto"/>
        <w:ind w:right="360"/>
        <w:jc w:val="both"/>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H2b:</w:t>
      </w:r>
      <w:r w:rsidRPr="00186D4F">
        <w:rPr>
          <w:rFonts w:ascii="Times New Roman" w:eastAsia="Times New Roman" w:hAnsi="Times New Roman" w:cs="Times New Roman"/>
          <w:sz w:val="24"/>
          <w:szCs w:val="24"/>
          <w:lang w:val="en-US"/>
        </w:rPr>
        <w:t xml:space="preserve"> Sự gia tăng của VIX có mối liên hệ âm với lợi suất Bitcoin và Ethereum.</w:t>
      </w:r>
    </w:p>
    <w:p w14:paraId="18657013" w14:textId="77777777" w:rsidR="00186D4F" w:rsidRPr="00186D4F" w:rsidRDefault="00186D4F" w:rsidP="00186D4F">
      <w:pPr>
        <w:numPr>
          <w:ilvl w:val="0"/>
          <w:numId w:val="5"/>
        </w:numPr>
        <w:spacing w:before="20" w:after="20" w:line="360" w:lineRule="auto"/>
        <w:ind w:right="360"/>
        <w:jc w:val="both"/>
        <w:rPr>
          <w:rFonts w:ascii="Times New Roman" w:eastAsia="Times New Roman" w:hAnsi="Times New Roman" w:cs="Times New Roman"/>
          <w:sz w:val="24"/>
          <w:szCs w:val="24"/>
          <w:lang w:val="en-US"/>
        </w:rPr>
      </w:pPr>
      <w:r w:rsidRPr="00186D4F">
        <w:rPr>
          <w:rFonts w:ascii="Times New Roman" w:eastAsia="Times New Roman" w:hAnsi="Times New Roman" w:cs="Times New Roman"/>
          <w:b/>
          <w:bCs/>
          <w:sz w:val="24"/>
          <w:szCs w:val="24"/>
          <w:lang w:val="en-US"/>
        </w:rPr>
        <w:t>H2c:</w:t>
      </w:r>
      <w:r w:rsidRPr="00186D4F">
        <w:rPr>
          <w:rFonts w:ascii="Times New Roman" w:eastAsia="Times New Roman" w:hAnsi="Times New Roman" w:cs="Times New Roman"/>
          <w:sz w:val="24"/>
          <w:szCs w:val="24"/>
          <w:lang w:val="en-US"/>
        </w:rPr>
        <w:t xml:space="preserve"> Mối liên hệ giữa những thay đổi của DXY, VIX và lợi suất BTC, ETH có thể khác nhau theo từng chân trời dự báo về mức độ và chiều hướng.</w:t>
      </w:r>
    </w:p>
    <w:p w14:paraId="02EDD245" w14:textId="38FAA160" w:rsidR="00801403" w:rsidRPr="003F2CD1" w:rsidRDefault="007404FF" w:rsidP="003F2CD1">
      <w:pPr>
        <w:spacing w:before="20" w:after="20" w:line="360" w:lineRule="auto"/>
        <w:ind w:right="360"/>
        <w:jc w:val="both"/>
        <w:rPr>
          <w:rFonts w:ascii="Times New Roman" w:eastAsia="Times New Roman" w:hAnsi="Times New Roman" w:cs="Times New Roman"/>
          <w:sz w:val="24"/>
          <w:szCs w:val="24"/>
          <w:lang w:val="en-US"/>
        </w:rPr>
      </w:pPr>
      <w:r w:rsidRPr="003F2CD1">
        <w:rPr>
          <w:rFonts w:ascii="Times New Roman" w:eastAsia="Times New Roman" w:hAnsi="Times New Roman" w:cs="Times New Roman"/>
          <w:sz w:val="24"/>
          <w:szCs w:val="24"/>
        </w:rPr>
        <w:t>Cơ sở lập luận: DXY phản ánh sức mạnh tương đối của đồng USD, còn VIX phản ánh kỳ vọng biến động của thị trường chứng khoán Mỹ. Các thay đổi của hai chỉ báo có thể đồng hành với sự dịch chuyển khẩu vị rủi ro. Trong thiết kế này, DXY và VIX là các chỉ báo quan sát được; không mặc nhiên xem mọi thay đổi của chúng là cú sốc ngoại sinh.</w:t>
      </w:r>
      <w:r w:rsidRPr="003F2CD1">
        <w:rPr>
          <w:rFonts w:ascii="Times New Roman" w:eastAsia="Times New Roman" w:hAnsi="Times New Roman" w:cs="Times New Roman"/>
          <w:sz w:val="24"/>
          <w:szCs w:val="24"/>
          <w:lang w:val="en-US"/>
        </w:rPr>
        <w:t xml:space="preserve"> </w:t>
      </w:r>
    </w:p>
    <w:p w14:paraId="44D4397E" w14:textId="70E200A2" w:rsidR="007404FF" w:rsidRDefault="00000000">
      <w:pPr>
        <w:spacing w:before="20" w:after="20" w:line="360" w:lineRule="auto"/>
        <w:ind w:right="3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Đối với câu hỏi này, các chỉ báo trọng tâm là DXY, VIX và lợi suất BTC/ETH. Phân tích phản ứng động có thể sử dụng VAR–IRF và Local Projections (LP).</w:t>
      </w:r>
    </w:p>
    <w:p w14:paraId="688546D6" w14:textId="77777777" w:rsidR="007404FF" w:rsidRPr="007404FF" w:rsidRDefault="007404FF">
      <w:pPr>
        <w:spacing w:before="20" w:after="20" w:line="360" w:lineRule="auto"/>
        <w:ind w:right="360"/>
        <w:jc w:val="both"/>
        <w:rPr>
          <w:rFonts w:ascii="Times New Roman" w:eastAsia="Times New Roman" w:hAnsi="Times New Roman" w:cs="Times New Roman"/>
          <w:sz w:val="24"/>
          <w:szCs w:val="24"/>
          <w:lang w:val="en-US"/>
        </w:rPr>
      </w:pPr>
    </w:p>
    <w:p w14:paraId="6CB4AAAF"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2.3. RQ3. Sự thay đổi về mức độ nhạy cảm trước và sau các giai đoạn institutionalization</w:t>
      </w:r>
    </w:p>
    <w:p w14:paraId="5EC76FCF" w14:textId="77777777" w:rsidR="003F2CD1" w:rsidRDefault="00000000">
      <w:pPr>
        <w:spacing w:before="20" w:after="20" w:line="360" w:lineRule="auto"/>
        <w:ind w:right="3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Câu hỏi nghiên cứu (RQ3): </w:t>
      </w:r>
      <w:r w:rsidR="003F2CD1" w:rsidRPr="003F2CD1">
        <w:rPr>
          <w:rFonts w:ascii="Times New Roman" w:eastAsia="Times New Roman" w:hAnsi="Times New Roman" w:cs="Times New Roman"/>
          <w:sz w:val="24"/>
          <w:szCs w:val="24"/>
        </w:rPr>
        <w:t>Mối liên hệ giữa các điều kiện tài chính toàn cầu và lợi suất BTC, ETH có khác biệt giữa giai đoạn 2018–2019 và giai đoạn 2020–2025 hay không?</w:t>
      </w:r>
    </w:p>
    <w:p w14:paraId="5C5891BF" w14:textId="52087E2B" w:rsidR="00801403" w:rsidRPr="00D17E9E" w:rsidRDefault="00000000">
      <w:pPr>
        <w:spacing w:before="20" w:after="20" w:line="360" w:lineRule="auto"/>
        <w:ind w:right="360"/>
        <w:jc w:val="both"/>
        <w:rPr>
          <w:rFonts w:eastAsia="Times New Roman"/>
          <w:lang w:val="en-US"/>
        </w:rPr>
      </w:pPr>
      <w:r>
        <w:rPr>
          <w:rFonts w:ascii="Times New Roman" w:eastAsia="Times New Roman" w:hAnsi="Times New Roman" w:cs="Times New Roman"/>
          <w:sz w:val="24"/>
          <w:szCs w:val="24"/>
        </w:rPr>
        <w:t xml:space="preserve">Giả thuyết H3: </w:t>
      </w:r>
      <w:r w:rsidR="00D17E9E" w:rsidRPr="00D17E9E">
        <w:rPr>
          <w:rFonts w:eastAsia="Times New Roman"/>
          <w:lang w:val="en-US"/>
        </w:rPr>
        <w:t>Mối liên hệ giữa các chỉ báo tài chính toàn cầu và lợi suất BTC, ETH khác biệt có ý nghĩa thống kê giữa giai đoạn 2018–2019 và giai đoạn 2020–2025.</w:t>
      </w:r>
    </w:p>
    <w:p w14:paraId="4CDC29E6" w14:textId="6E13D909" w:rsidR="00801403" w:rsidRPr="00B35DC4" w:rsidRDefault="003F2CD1">
      <w:pPr>
        <w:spacing w:before="20" w:after="20" w:line="360" w:lineRule="auto"/>
        <w:ind w:right="360"/>
        <w:jc w:val="both"/>
        <w:rPr>
          <w:rFonts w:eastAsia="Times New Roman"/>
          <w:lang w:val="en-US"/>
        </w:rPr>
      </w:pPr>
      <w:r w:rsidRPr="003F2CD1">
        <w:rPr>
          <w:rFonts w:ascii="Times New Roman" w:eastAsia="Times New Roman" w:hAnsi="Times New Roman" w:cs="Times New Roman"/>
          <w:sz w:val="24"/>
          <w:szCs w:val="24"/>
          <w:lang w:val="en-US"/>
        </w:rPr>
        <w:t xml:space="preserve">Cơ sở lập luận: </w:t>
      </w:r>
      <w:r w:rsidR="00B35DC4" w:rsidRPr="00B35DC4">
        <w:rPr>
          <w:rFonts w:eastAsia="Times New Roman"/>
          <w:lang w:val="en-US"/>
        </w:rPr>
        <w:t>Sự phát triển của thị trường tiền mã hóa và những thay đổi trong môi trường tài chính toàn cầu có thể đi kèm với sự thay đổi trong mối liên hệ giữa BTC, ETH và các chỉ báo tài chính truyền thống. Giai đoạn sau năm 2020 được sử dụng như một mốc so sánh, không phải bằng chứng rằng quá trình gia tăng sự tham gia của nhà đầu tư tổ chức bắt đầu chính xác vào thời điểm này. Do đó, nghiên cứu kiểm định sự khác biệt giữa hai giai đoạn mà không mặc định chiều thay đổi hoặc quy kết nguyên nhân cho một yếu tố riêng lẻ.</w:t>
      </w:r>
    </w:p>
    <w:p w14:paraId="14CC3F5E" w14:textId="77777777" w:rsidR="00621EE5" w:rsidRPr="00621EE5" w:rsidRDefault="00621EE5" w:rsidP="00621EE5">
      <w:pPr>
        <w:spacing w:before="20" w:after="20" w:line="360" w:lineRule="auto"/>
        <w:ind w:right="360"/>
        <w:jc w:val="both"/>
        <w:rPr>
          <w:rFonts w:ascii="Times New Roman" w:eastAsia="Times New Roman" w:hAnsi="Times New Roman" w:cs="Times New Roman"/>
          <w:sz w:val="24"/>
          <w:szCs w:val="24"/>
          <w:lang w:val="en-US"/>
        </w:rPr>
      </w:pPr>
      <w:r w:rsidRPr="00621EE5">
        <w:rPr>
          <w:rFonts w:ascii="Times New Roman" w:eastAsia="Times New Roman" w:hAnsi="Times New Roman" w:cs="Times New Roman"/>
          <w:sz w:val="24"/>
          <w:szCs w:val="24"/>
          <w:lang w:val="en-US"/>
        </w:rPr>
        <w:t>Để kiểm định sự khác biệt giữa hai giai đoạn, nghiên cứu sử dụng hồi quy có biến tương tác giữa các chỉ báo tài chính và biến giả Post2020, kết hợp với các kiểm định so sánh hệ số theo đặc tả thực nghiệm. Nếu sử dụng kết quả VAR–IRF để đối chiếu, cần xem xét độ nhạy của phản ứng theo thứ tự biến trong mô hình Cholesky. Kết luận về sự khác biệt phải dựa trên kiểm định trực tiếp chênh lệch hệ số hoặc phản ứng; không thể suy ra sự khác biệt chỉ từ việc một hệ số có ý nghĩa thống kê còn hệ số kia không có ý nghĩa.</w:t>
      </w:r>
    </w:p>
    <w:p w14:paraId="79A7A70D"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2.4. RQ4. Tính phi tuyến và sự phụ thuộc vào trạng thái thị trường</w:t>
      </w:r>
    </w:p>
    <w:p w14:paraId="5DD73921" w14:textId="77777777" w:rsidR="003F2CD1" w:rsidRDefault="00000000">
      <w:pPr>
        <w:spacing w:before="20" w:after="20" w:line="360" w:lineRule="auto"/>
        <w:ind w:right="3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Câu hỏi nghiên cứu (RQ4): </w:t>
      </w:r>
      <w:r w:rsidR="003F2CD1" w:rsidRPr="003F2CD1">
        <w:rPr>
          <w:rFonts w:ascii="Times New Roman" w:eastAsia="Times New Roman" w:hAnsi="Times New Roman" w:cs="Times New Roman"/>
          <w:sz w:val="24"/>
          <w:szCs w:val="24"/>
        </w:rPr>
        <w:t>Mối liên hệ giữa các chỉ báo tài chính toàn cầu và lợi suất BTC, ETH có khác biệt giữa trạng thái thị trường bình thường và trạng thái căng thẳng hay không?</w:t>
      </w:r>
    </w:p>
    <w:p w14:paraId="0C7A1335" w14:textId="6BC745BD" w:rsidR="00801403" w:rsidRDefault="00000000">
      <w:pPr>
        <w:spacing w:before="20" w:after="20" w:line="360" w:lineRule="auto"/>
        <w:ind w:righ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Giả thuyết H4: </w:t>
      </w:r>
      <w:r w:rsidR="00B35DC4" w:rsidRPr="00B35DC4">
        <w:rPr>
          <w:rFonts w:ascii="Times New Roman" w:eastAsia="Times New Roman" w:hAnsi="Times New Roman" w:cs="Times New Roman"/>
          <w:sz w:val="24"/>
          <w:szCs w:val="24"/>
        </w:rPr>
        <w:t>Hệ số liên hệ giữa US2Y, DXY, VIX và lợi suất BTC/ETH khác biệt giữa trạng thái Calm và Stress</w:t>
      </w:r>
      <w:r>
        <w:rPr>
          <w:rFonts w:ascii="Times New Roman" w:eastAsia="Times New Roman" w:hAnsi="Times New Roman" w:cs="Times New Roman"/>
          <w:sz w:val="24"/>
          <w:szCs w:val="24"/>
        </w:rPr>
        <w:t>.</w:t>
      </w:r>
    </w:p>
    <w:p w14:paraId="020C2A24" w14:textId="77777777" w:rsidR="007404FF" w:rsidRPr="007404FF" w:rsidRDefault="007404FF" w:rsidP="007404FF">
      <w:pPr>
        <w:spacing w:before="20" w:after="20" w:line="360" w:lineRule="auto"/>
        <w:ind w:right="360"/>
        <w:jc w:val="both"/>
        <w:rPr>
          <w:rFonts w:ascii="Times New Roman" w:eastAsia="Times New Roman" w:hAnsi="Times New Roman" w:cs="Times New Roman"/>
          <w:sz w:val="24"/>
          <w:szCs w:val="24"/>
          <w:lang w:val="en-US"/>
        </w:rPr>
      </w:pPr>
      <w:r w:rsidRPr="007404FF">
        <w:rPr>
          <w:rFonts w:ascii="Times New Roman" w:eastAsia="Times New Roman" w:hAnsi="Times New Roman" w:cs="Times New Roman"/>
          <w:sz w:val="24"/>
          <w:szCs w:val="24"/>
          <w:lang w:val="en-US"/>
        </w:rPr>
        <w:t>Cơ sở lập luận: Trong giai đoạn căng thẳng, khẩu vị rủi ro và điều kiện thanh khoản có thể thay đổi nhanh, khiến mối liên hệ giữa chỉ báo tài chính và lợi suất tiền mã hóa khác với giai đoạn bình ổn. Tuy nhiên, khác biệt này phải được kiểm định trực tiếp thay vì suy luận từ ý nghĩa thống kê của hai mô hình riêng biệt.</w:t>
      </w:r>
    </w:p>
    <w:p w14:paraId="27B966EB" w14:textId="77777777" w:rsidR="007404FF" w:rsidRPr="007404FF" w:rsidRDefault="007404FF" w:rsidP="007404FF">
      <w:pPr>
        <w:spacing w:before="20" w:after="20" w:line="360" w:lineRule="auto"/>
        <w:ind w:right="360"/>
        <w:jc w:val="both"/>
        <w:rPr>
          <w:rFonts w:ascii="Times New Roman" w:eastAsia="Times New Roman" w:hAnsi="Times New Roman" w:cs="Times New Roman"/>
          <w:sz w:val="24"/>
          <w:szCs w:val="24"/>
          <w:lang w:val="en-US"/>
        </w:rPr>
      </w:pPr>
      <w:r w:rsidRPr="007404FF">
        <w:rPr>
          <w:rFonts w:ascii="Times New Roman" w:eastAsia="Times New Roman" w:hAnsi="Times New Roman" w:cs="Times New Roman"/>
          <w:sz w:val="24"/>
          <w:szCs w:val="24"/>
          <w:lang w:val="en-US"/>
        </w:rPr>
        <w:t xml:space="preserve">Trạng thái Stress trong đặc tả cơ sở được xác định khi VIX của phiên vĩ mô trước đó đạt từ 30 điểm trở lên; dùng giá trị trễ nhằm tránh phân loại trạng thái bằng chính VIX đương kỳ. Phương pháp thực tế là LP có tương tác giữa trạng thái Calm/Stress và các biến vĩ mô; các ngưỡng 25 và 35 được dùng trong kiểm tra độ nhạy. </w:t>
      </w:r>
    </w:p>
    <w:p w14:paraId="60179F99" w14:textId="77777777" w:rsidR="00801403" w:rsidRDefault="00000000">
      <w:pPr>
        <w:spacing w:before="20" w:after="20" w:line="360" w:lineRule="auto"/>
        <w:ind w:righ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2.5. RQ5. Giá trị dự báo của các biến điều kiện tài chính toàn cầu</w:t>
      </w:r>
    </w:p>
    <w:p w14:paraId="7A9DB146" w14:textId="77777777" w:rsidR="003F2CD1" w:rsidRPr="003F2CD1" w:rsidRDefault="00000000" w:rsidP="003F2CD1">
      <w:pPr>
        <w:spacing w:before="20" w:after="20" w:line="360" w:lineRule="auto"/>
        <w:ind w:right="360"/>
        <w:jc w:val="both"/>
        <w:rPr>
          <w:rFonts w:eastAsia="Times New Roman"/>
          <w:lang w:val="en-US"/>
        </w:rPr>
      </w:pPr>
      <w:r>
        <w:rPr>
          <w:rFonts w:ascii="Times New Roman" w:eastAsia="Times New Roman" w:hAnsi="Times New Roman" w:cs="Times New Roman"/>
          <w:sz w:val="24"/>
          <w:szCs w:val="24"/>
        </w:rPr>
        <w:t>Câu hỏi nghiên cứu (RQ5):</w:t>
      </w:r>
      <w:r w:rsidR="009379EF">
        <w:rPr>
          <w:rFonts w:ascii="Times New Roman" w:eastAsia="Times New Roman" w:hAnsi="Times New Roman" w:cs="Times New Roman"/>
          <w:sz w:val="24"/>
          <w:szCs w:val="24"/>
          <w:lang w:val="en-US"/>
        </w:rPr>
        <w:t xml:space="preserve"> </w:t>
      </w:r>
      <w:r w:rsidR="003F2CD1" w:rsidRPr="003F2CD1">
        <w:rPr>
          <w:rFonts w:eastAsia="Times New Roman"/>
          <w:lang w:val="en-US"/>
        </w:rPr>
        <w:t>Việc bổ sung các chỉ báo tài chính toàn cầu US2Y, DXY và VIX có cải thiện độ chính xác dự báo ngoài mẫu đối với độ lớn lợi suất ngày kế tiếp của BTC và ETH hay không?</w:t>
      </w:r>
    </w:p>
    <w:p w14:paraId="21E392BE" w14:textId="5719934B" w:rsidR="003F2CD1" w:rsidRPr="003F2CD1" w:rsidRDefault="00000000" w:rsidP="003F2CD1">
      <w:pPr>
        <w:spacing w:before="20" w:after="20" w:line="360" w:lineRule="auto"/>
        <w:ind w:right="360"/>
        <w:jc w:val="both"/>
        <w:rPr>
          <w:rFonts w:eastAsia="Times New Roman"/>
          <w:lang w:val="en-US"/>
        </w:rPr>
      </w:pPr>
      <w:r>
        <w:rPr>
          <w:rFonts w:ascii="Times New Roman" w:eastAsia="Times New Roman" w:hAnsi="Times New Roman" w:cs="Times New Roman"/>
          <w:sz w:val="24"/>
          <w:szCs w:val="24"/>
        </w:rPr>
        <w:t xml:space="preserve">Giả thuyết H5: </w:t>
      </w:r>
      <w:r w:rsidR="003F2CD1">
        <w:rPr>
          <w:rFonts w:ascii="Times New Roman" w:eastAsia="Times New Roman" w:hAnsi="Times New Roman" w:cs="Times New Roman"/>
          <w:sz w:val="24"/>
          <w:szCs w:val="24"/>
          <w:lang w:val="en-US"/>
        </w:rPr>
        <w:t>V</w:t>
      </w:r>
      <w:r w:rsidR="003F2CD1" w:rsidRPr="003F2CD1">
        <w:rPr>
          <w:rFonts w:eastAsia="Times New Roman"/>
          <w:lang w:val="en-US"/>
        </w:rPr>
        <w:t>iệc bổ sung các biến điều kiện tài chính toàn cầu có thể cải thiện độ chính xác dự báo ngoài mẫu đối với độ lớn lợi suất ngày kế tiếp của BTC và ETH so với mô hình chỉ sử dụng thông tin quá khứ của thị trường tiền mã hóa.</w:t>
      </w:r>
    </w:p>
    <w:p w14:paraId="012190A6" w14:textId="32814988" w:rsidR="00192184" w:rsidRPr="00192184" w:rsidRDefault="00192184" w:rsidP="00192184">
      <w:pPr>
        <w:spacing w:before="20" w:after="20" w:line="360" w:lineRule="auto"/>
        <w:ind w:right="360"/>
        <w:jc w:val="both"/>
        <w:rPr>
          <w:rFonts w:ascii="Times New Roman" w:eastAsia="Times New Roman" w:hAnsi="Times New Roman" w:cs="Times New Roman"/>
          <w:sz w:val="24"/>
          <w:szCs w:val="24"/>
          <w:lang w:val="en-US"/>
        </w:rPr>
      </w:pPr>
      <w:r w:rsidRPr="00192184">
        <w:rPr>
          <w:rFonts w:ascii="Times New Roman" w:eastAsia="Times New Roman" w:hAnsi="Times New Roman" w:cs="Times New Roman"/>
          <w:sz w:val="24"/>
          <w:szCs w:val="24"/>
          <w:lang w:val="en-US"/>
        </w:rPr>
        <w:t>Cơ sở lập luận: US2Y, DXY và VIX có thể bổ sung thông tin về điều kiện tài chính toàn cầu, nhưng thông tin bổ sung không nhất thiết làm dự báo chính xác hơn. Vì vậy, giá trị gia tăng được đánh giá bằng so sánh ngoài mẫu trên cùng ngày dự báo và cùng thuật toán.</w:t>
      </w:r>
    </w:p>
    <w:p w14:paraId="7FB6DDC8" w14:textId="77A1D925" w:rsidR="00192184" w:rsidRPr="00192184" w:rsidRDefault="00192184" w:rsidP="00192184">
      <w:pPr>
        <w:spacing w:before="20" w:after="20" w:line="360" w:lineRule="auto"/>
        <w:ind w:right="360"/>
        <w:jc w:val="both"/>
        <w:rPr>
          <w:rFonts w:ascii="Times New Roman" w:eastAsia="Times New Roman" w:hAnsi="Times New Roman" w:cs="Times New Roman"/>
          <w:sz w:val="24"/>
          <w:szCs w:val="24"/>
          <w:lang w:val="en-US"/>
        </w:rPr>
      </w:pPr>
      <w:r w:rsidRPr="00192184">
        <w:rPr>
          <w:rFonts w:ascii="Times New Roman" w:eastAsia="Times New Roman" w:hAnsi="Times New Roman" w:cs="Times New Roman"/>
          <w:sz w:val="24"/>
          <w:szCs w:val="24"/>
          <w:lang w:val="en-US"/>
        </w:rPr>
        <w:t xml:space="preserve">Thiết kế thực tế sử dụng benchmark trung bình lịch sử 30 ngày, Elastic Net và XGBoost; so sánh hai bộ đặc trưng Crypto-only (40 biến) và Crypto + Macro (52 biến). Dữ liệu được chia theo thời gian, dùng các năm 2022–2024 để xác thực và đánh giá cuối cùng trên 365 ngày của năm 2025. Thước đo gồm MAE, RMSE và khoảng tin cậy bootstrap theo khối thời gian cho chênh lệch MAE. </w:t>
      </w:r>
    </w:p>
    <w:p w14:paraId="0E9D90D2" w14:textId="77777777" w:rsidR="00801403" w:rsidRPr="00192184" w:rsidRDefault="00000000">
      <w:pPr>
        <w:spacing w:before="20" w:after="20" w:line="360" w:lineRule="auto"/>
        <w:ind w:right="360"/>
        <w:jc w:val="both"/>
        <w:rPr>
          <w:rFonts w:ascii="Times New Roman" w:eastAsia="Times New Roman" w:hAnsi="Times New Roman" w:cs="Times New Roman"/>
          <w:b/>
          <w:bCs/>
          <w:sz w:val="24"/>
          <w:szCs w:val="24"/>
        </w:rPr>
      </w:pPr>
      <w:r w:rsidRPr="00192184">
        <w:rPr>
          <w:rFonts w:ascii="Times New Roman" w:eastAsia="Times New Roman" w:hAnsi="Times New Roman" w:cs="Times New Roman"/>
          <w:b/>
          <w:bCs/>
          <w:sz w:val="24"/>
          <w:szCs w:val="24"/>
        </w:rPr>
        <w:t>3. Định nghĩa các chỉ báo</w:t>
      </w:r>
    </w:p>
    <w:p w14:paraId="4DC98069" w14:textId="77777777" w:rsidR="00801403" w:rsidRDefault="00000000">
      <w:pPr>
        <w:spacing w:before="20" w:after="20" w:line="360" w:lineRule="auto"/>
        <w:ind w:right="360"/>
        <w:jc w:val="both"/>
        <w:rPr>
          <w:rFonts w:ascii="Times New Roman" w:eastAsia="Times New Roman" w:hAnsi="Times New Roman" w:cs="Times New Roman"/>
          <w:sz w:val="24"/>
          <w:szCs w:val="24"/>
        </w:rPr>
      </w:pPr>
      <w:r w:rsidRPr="00192184">
        <w:rPr>
          <w:rFonts w:ascii="Times New Roman" w:eastAsia="Times New Roman" w:hAnsi="Times New Roman" w:cs="Times New Roman"/>
          <w:b/>
          <w:bCs/>
          <w:sz w:val="24"/>
          <w:szCs w:val="24"/>
        </w:rPr>
        <w:t>3.1. Biến phụ thuộc</w:t>
      </w:r>
      <w:r>
        <w:rPr>
          <w:rFonts w:ascii="Times New Roman" w:eastAsia="Times New Roman" w:hAnsi="Times New Roman" w:cs="Times New Roman"/>
          <w:sz w:val="24"/>
          <w:szCs w:val="24"/>
        </w:rPr>
        <w:t xml:space="preserve">  </w:t>
      </w:r>
    </w:p>
    <w:tbl>
      <w:tblPr>
        <w:tblStyle w:val="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1701"/>
        <w:gridCol w:w="5039"/>
        <w:gridCol w:w="867"/>
      </w:tblGrid>
      <w:tr w:rsidR="00801403" w14:paraId="43C3ADA8" w14:textId="77777777" w:rsidTr="00A53B74">
        <w:trPr>
          <w:trHeight w:val="785"/>
        </w:trPr>
        <w:tc>
          <w:tcPr>
            <w:tcW w:w="1418" w:type="dxa"/>
            <w:tcMar>
              <w:top w:w="100" w:type="dxa"/>
              <w:left w:w="100" w:type="dxa"/>
              <w:bottom w:w="100" w:type="dxa"/>
              <w:right w:w="100" w:type="dxa"/>
            </w:tcMar>
          </w:tcPr>
          <w:p w14:paraId="465017DB"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Biến</w:t>
            </w:r>
          </w:p>
        </w:tc>
        <w:tc>
          <w:tcPr>
            <w:tcW w:w="1701" w:type="dxa"/>
            <w:tcMar>
              <w:top w:w="100" w:type="dxa"/>
              <w:left w:w="100" w:type="dxa"/>
              <w:bottom w:w="100" w:type="dxa"/>
              <w:right w:w="100" w:type="dxa"/>
            </w:tcMar>
          </w:tcPr>
          <w:p w14:paraId="09B012FD"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Ký hiệu</w:t>
            </w:r>
          </w:p>
        </w:tc>
        <w:tc>
          <w:tcPr>
            <w:tcW w:w="5039" w:type="dxa"/>
            <w:tcMar>
              <w:top w:w="100" w:type="dxa"/>
              <w:left w:w="100" w:type="dxa"/>
              <w:bottom w:w="100" w:type="dxa"/>
              <w:right w:w="100" w:type="dxa"/>
            </w:tcMar>
          </w:tcPr>
          <w:p w14:paraId="42D53300"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Định nghĩa và cách đo lường</w:t>
            </w:r>
          </w:p>
        </w:tc>
        <w:tc>
          <w:tcPr>
            <w:tcW w:w="867" w:type="dxa"/>
            <w:tcMar>
              <w:top w:w="100" w:type="dxa"/>
              <w:left w:w="100" w:type="dxa"/>
              <w:bottom w:w="100" w:type="dxa"/>
              <w:right w:w="100" w:type="dxa"/>
            </w:tcMar>
          </w:tcPr>
          <w:p w14:paraId="08125E98"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Tần suất</w:t>
            </w:r>
          </w:p>
        </w:tc>
      </w:tr>
      <w:tr w:rsidR="00801403" w14:paraId="1B91A89C" w14:textId="77777777" w:rsidTr="00A53B74">
        <w:trPr>
          <w:trHeight w:val="785"/>
        </w:trPr>
        <w:tc>
          <w:tcPr>
            <w:tcW w:w="1418" w:type="dxa"/>
            <w:tcMar>
              <w:top w:w="100" w:type="dxa"/>
              <w:left w:w="100" w:type="dxa"/>
              <w:bottom w:w="100" w:type="dxa"/>
              <w:right w:w="100" w:type="dxa"/>
            </w:tcMar>
          </w:tcPr>
          <w:p w14:paraId="44E9E7F6"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Lợi suất Bitcoin</w:t>
            </w:r>
          </w:p>
        </w:tc>
        <w:tc>
          <w:tcPr>
            <w:tcW w:w="1701" w:type="dxa"/>
            <w:tcMar>
              <w:top w:w="100" w:type="dxa"/>
              <w:left w:w="100" w:type="dxa"/>
              <w:bottom w:w="100" w:type="dxa"/>
              <w:right w:w="100" w:type="dxa"/>
            </w:tcMar>
          </w:tcPr>
          <w:p w14:paraId="5C74B1B7" w14:textId="77777777" w:rsidR="00801403" w:rsidRDefault="00000000">
            <w:pPr>
              <w:spacing w:before="240" w:after="240"/>
              <w:rPr>
                <w:rFonts w:ascii="Times New Roman" w:eastAsia="Times New Roman" w:hAnsi="Times New Roman" w:cs="Times New Roman"/>
                <w:sz w:val="24"/>
                <w:szCs w:val="24"/>
              </w:rPr>
            </w:pPr>
            <m:oMathPara>
              <m:oMath>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r</m:t>
                    </m:r>
                  </m:e>
                  <m:sub>
                    <m:r>
                      <w:rPr>
                        <w:rFonts w:ascii="Times New Roman" w:eastAsia="Times New Roman" w:hAnsi="Times New Roman" w:cs="Times New Roman"/>
                        <w:sz w:val="24"/>
                        <w:szCs w:val="24"/>
                      </w:rPr>
                      <m:t>t</m:t>
                    </m:r>
                  </m:sub>
                  <m:sup>
                    <m:r>
                      <w:rPr>
                        <w:rFonts w:ascii="Times New Roman" w:eastAsia="Times New Roman" w:hAnsi="Times New Roman" w:cs="Times New Roman"/>
                        <w:sz w:val="24"/>
                        <w:szCs w:val="24"/>
                      </w:rPr>
                      <m:t>BTC</m:t>
                    </m:r>
                  </m:sup>
                </m:sSubSup>
              </m:oMath>
            </m:oMathPara>
          </w:p>
        </w:tc>
        <w:tc>
          <w:tcPr>
            <w:tcW w:w="5039" w:type="dxa"/>
            <w:tcMar>
              <w:top w:w="100" w:type="dxa"/>
              <w:left w:w="100" w:type="dxa"/>
              <w:bottom w:w="100" w:type="dxa"/>
              <w:right w:w="100" w:type="dxa"/>
            </w:tcMar>
          </w:tcPr>
          <w:p w14:paraId="03D2A229"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Lợi suất log hằng ngày: </w:t>
            </w:r>
            <m:oMath>
              <m:r>
                <w:rPr>
                  <w:rFonts w:ascii="Times New Roman" w:eastAsia="Times New Roman" w:hAnsi="Times New Roman" w:cs="Times New Roman"/>
                  <w:sz w:val="24"/>
                  <w:szCs w:val="24"/>
                </w:rPr>
                <m:t>100</m:t>
              </m:r>
              <m:box>
                <m:boxPr>
                  <m:opEmu m:val="1"/>
                  <m:ctrlPr>
                    <w:rPr>
                      <w:rFonts w:ascii="Times New Roman" w:eastAsia="Times New Roman" w:hAnsi="Times New Roman" w:cs="Times New Roman"/>
                      <w:sz w:val="24"/>
                      <w:szCs w:val="24"/>
                    </w:rPr>
                  </m:ctrlPr>
                </m:boxPr>
                <m:e>
                  <m:r>
                    <w:rPr>
                      <w:rFonts w:ascii="Times New Roman" w:eastAsia="Times New Roman" w:hAnsi="Times New Roman" w:cs="Times New Roman"/>
                      <w:sz w:val="24"/>
                      <w:szCs w:val="24"/>
                    </w:rPr>
                    <m:t>ln</m:t>
                  </m:r>
                </m:e>
              </m:box>
              <m:r>
                <w:rPr>
                  <w:rFonts w:ascii="Times New Roman" w:eastAsia="Times New Roman" w:hAnsi="Times New Roman" w:cs="Times New Roman"/>
                  <w:sz w:val="24"/>
                  <w:szCs w:val="24"/>
                </w:rPr>
                <m:t>(</m:t>
              </m:r>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P</m:t>
                  </m:r>
                </m:e>
                <m:sub>
                  <m:r>
                    <w:rPr>
                      <w:rFonts w:ascii="Times New Roman" w:eastAsia="Times New Roman" w:hAnsi="Times New Roman" w:cs="Times New Roman"/>
                      <w:sz w:val="24"/>
                      <w:szCs w:val="24"/>
                    </w:rPr>
                    <m:t>t</m:t>
                  </m:r>
                </m:sub>
                <m:sup>
                  <m:r>
                    <w:rPr>
                      <w:rFonts w:ascii="Times New Roman" w:eastAsia="Times New Roman" w:hAnsi="Times New Roman" w:cs="Times New Roman"/>
                      <w:sz w:val="24"/>
                      <w:szCs w:val="24"/>
                    </w:rPr>
                    <m:t>BTC</m:t>
                  </m:r>
                </m:sup>
              </m:sSubSup>
              <m:r>
                <w:rPr>
                  <w:rFonts w:ascii="Times New Roman" w:eastAsia="Times New Roman" w:hAnsi="Times New Roman" w:cs="Times New Roman"/>
                  <w:sz w:val="24"/>
                  <w:szCs w:val="24"/>
                </w:rPr>
                <m:t>/</m:t>
              </m:r>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P</m:t>
                  </m:r>
                </m:e>
                <m:sub>
                  <m:r>
                    <w:rPr>
                      <w:rFonts w:ascii="Times New Roman" w:eastAsia="Times New Roman" w:hAnsi="Times New Roman" w:cs="Times New Roman"/>
                      <w:sz w:val="24"/>
                      <w:szCs w:val="24"/>
                    </w:rPr>
                    <m:t>t-1</m:t>
                  </m:r>
                </m:sub>
                <m:sup>
                  <m:r>
                    <w:rPr>
                      <w:rFonts w:ascii="Times New Roman" w:eastAsia="Times New Roman" w:hAnsi="Times New Roman" w:cs="Times New Roman"/>
                      <w:sz w:val="24"/>
                      <w:szCs w:val="24"/>
                    </w:rPr>
                    <m:t>BTC</m:t>
                  </m:r>
                </m:sup>
              </m:sSubSup>
              <m:r>
                <w:rPr>
                  <w:rFonts w:ascii="Times New Roman" w:eastAsia="Times New Roman" w:hAnsi="Times New Roman" w:cs="Times New Roman"/>
                  <w:sz w:val="24"/>
                  <w:szCs w:val="24"/>
                </w:rPr>
                <m:t>)</m:t>
              </m:r>
            </m:oMath>
          </w:p>
        </w:tc>
        <w:tc>
          <w:tcPr>
            <w:tcW w:w="867" w:type="dxa"/>
            <w:tcMar>
              <w:top w:w="100" w:type="dxa"/>
              <w:left w:w="100" w:type="dxa"/>
              <w:bottom w:w="100" w:type="dxa"/>
              <w:right w:w="100" w:type="dxa"/>
            </w:tcMar>
          </w:tcPr>
          <w:p w14:paraId="42A3A8DB"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Hằng ngày</w:t>
            </w:r>
          </w:p>
        </w:tc>
      </w:tr>
      <w:tr w:rsidR="00801403" w14:paraId="7ECC4FFA" w14:textId="77777777" w:rsidTr="00A53B74">
        <w:trPr>
          <w:trHeight w:val="785"/>
        </w:trPr>
        <w:tc>
          <w:tcPr>
            <w:tcW w:w="1418" w:type="dxa"/>
            <w:tcMar>
              <w:top w:w="100" w:type="dxa"/>
              <w:left w:w="100" w:type="dxa"/>
              <w:bottom w:w="100" w:type="dxa"/>
              <w:right w:w="100" w:type="dxa"/>
            </w:tcMar>
          </w:tcPr>
          <w:p w14:paraId="3DFE345A"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Lợi suất Ethereum</w:t>
            </w:r>
          </w:p>
        </w:tc>
        <w:tc>
          <w:tcPr>
            <w:tcW w:w="1701" w:type="dxa"/>
            <w:tcMar>
              <w:top w:w="100" w:type="dxa"/>
              <w:left w:w="100" w:type="dxa"/>
              <w:bottom w:w="100" w:type="dxa"/>
              <w:right w:w="100" w:type="dxa"/>
            </w:tcMar>
          </w:tcPr>
          <w:p w14:paraId="5C2B25B4" w14:textId="77777777" w:rsidR="00801403" w:rsidRDefault="00000000">
            <w:pPr>
              <w:spacing w:before="240" w:after="240"/>
              <w:rPr>
                <w:rFonts w:ascii="Times New Roman" w:eastAsia="Times New Roman" w:hAnsi="Times New Roman" w:cs="Times New Roman"/>
                <w:sz w:val="24"/>
                <w:szCs w:val="24"/>
              </w:rPr>
            </w:pPr>
            <m:oMathPara>
              <m:oMath>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r</m:t>
                    </m:r>
                  </m:e>
                  <m:sub>
                    <m:r>
                      <w:rPr>
                        <w:rFonts w:ascii="Times New Roman" w:eastAsia="Times New Roman" w:hAnsi="Times New Roman" w:cs="Times New Roman"/>
                        <w:sz w:val="24"/>
                        <w:szCs w:val="24"/>
                      </w:rPr>
                      <m:t>t</m:t>
                    </m:r>
                  </m:sub>
                  <m:sup>
                    <m:r>
                      <w:rPr>
                        <w:rFonts w:ascii="Times New Roman" w:eastAsia="Times New Roman" w:hAnsi="Times New Roman" w:cs="Times New Roman"/>
                        <w:sz w:val="24"/>
                        <w:szCs w:val="24"/>
                      </w:rPr>
                      <m:t>ETH</m:t>
                    </m:r>
                  </m:sup>
                </m:sSubSup>
              </m:oMath>
            </m:oMathPara>
          </w:p>
        </w:tc>
        <w:tc>
          <w:tcPr>
            <w:tcW w:w="5039" w:type="dxa"/>
            <w:tcMar>
              <w:top w:w="100" w:type="dxa"/>
              <w:left w:w="100" w:type="dxa"/>
              <w:bottom w:w="100" w:type="dxa"/>
              <w:right w:w="100" w:type="dxa"/>
            </w:tcMar>
          </w:tcPr>
          <w:p w14:paraId="7E524F64"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Lợi suất log hằng ngày: </w:t>
            </w:r>
            <m:oMath>
              <m:r>
                <w:rPr>
                  <w:rFonts w:ascii="Times New Roman" w:eastAsia="Times New Roman" w:hAnsi="Times New Roman" w:cs="Times New Roman"/>
                  <w:sz w:val="24"/>
                  <w:szCs w:val="24"/>
                </w:rPr>
                <m:t>100</m:t>
              </m:r>
              <m:box>
                <m:boxPr>
                  <m:opEmu m:val="1"/>
                  <m:ctrlPr>
                    <w:rPr>
                      <w:rFonts w:ascii="Times New Roman" w:eastAsia="Times New Roman" w:hAnsi="Times New Roman" w:cs="Times New Roman"/>
                      <w:sz w:val="24"/>
                      <w:szCs w:val="24"/>
                    </w:rPr>
                  </m:ctrlPr>
                </m:boxPr>
                <m:e>
                  <m:r>
                    <w:rPr>
                      <w:rFonts w:ascii="Times New Roman" w:eastAsia="Times New Roman" w:hAnsi="Times New Roman" w:cs="Times New Roman"/>
                      <w:sz w:val="24"/>
                      <w:szCs w:val="24"/>
                    </w:rPr>
                    <m:t>ln</m:t>
                  </m:r>
                </m:e>
              </m:box>
              <m:r>
                <w:rPr>
                  <w:rFonts w:ascii="Times New Roman" w:eastAsia="Times New Roman" w:hAnsi="Times New Roman" w:cs="Times New Roman"/>
                  <w:sz w:val="24"/>
                  <w:szCs w:val="24"/>
                </w:rPr>
                <m:t>(</m:t>
              </m:r>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P</m:t>
                  </m:r>
                </m:e>
                <m:sub>
                  <m:r>
                    <w:rPr>
                      <w:rFonts w:ascii="Times New Roman" w:eastAsia="Times New Roman" w:hAnsi="Times New Roman" w:cs="Times New Roman"/>
                      <w:sz w:val="24"/>
                      <w:szCs w:val="24"/>
                    </w:rPr>
                    <m:t>t</m:t>
                  </m:r>
                </m:sub>
                <m:sup>
                  <m:r>
                    <w:rPr>
                      <w:rFonts w:ascii="Times New Roman" w:eastAsia="Times New Roman" w:hAnsi="Times New Roman" w:cs="Times New Roman"/>
                      <w:sz w:val="24"/>
                      <w:szCs w:val="24"/>
                    </w:rPr>
                    <m:t>ETH</m:t>
                  </m:r>
                </m:sup>
              </m:sSubSup>
              <m:r>
                <w:rPr>
                  <w:rFonts w:ascii="Times New Roman" w:eastAsia="Times New Roman" w:hAnsi="Times New Roman" w:cs="Times New Roman"/>
                  <w:sz w:val="24"/>
                  <w:szCs w:val="24"/>
                </w:rPr>
                <m:t>/</m:t>
              </m:r>
              <m:sSubSup>
                <m:sSubSupPr>
                  <m:ctrlPr>
                    <w:rPr>
                      <w:rFonts w:ascii="Times New Roman" w:eastAsia="Times New Roman" w:hAnsi="Times New Roman" w:cs="Times New Roman"/>
                      <w:sz w:val="24"/>
                      <w:szCs w:val="24"/>
                    </w:rPr>
                  </m:ctrlPr>
                </m:sSubSupPr>
                <m:e>
                  <m:r>
                    <w:rPr>
                      <w:rFonts w:ascii="Times New Roman" w:eastAsia="Times New Roman" w:hAnsi="Times New Roman" w:cs="Times New Roman"/>
                      <w:sz w:val="24"/>
                      <w:szCs w:val="24"/>
                    </w:rPr>
                    <m:t>P</m:t>
                  </m:r>
                </m:e>
                <m:sub>
                  <m:r>
                    <w:rPr>
                      <w:rFonts w:ascii="Times New Roman" w:eastAsia="Times New Roman" w:hAnsi="Times New Roman" w:cs="Times New Roman"/>
                      <w:sz w:val="24"/>
                      <w:szCs w:val="24"/>
                    </w:rPr>
                    <m:t>t-1</m:t>
                  </m:r>
                </m:sub>
                <m:sup>
                  <m:r>
                    <w:rPr>
                      <w:rFonts w:ascii="Times New Roman" w:eastAsia="Times New Roman" w:hAnsi="Times New Roman" w:cs="Times New Roman"/>
                      <w:sz w:val="24"/>
                      <w:szCs w:val="24"/>
                    </w:rPr>
                    <m:t>ETH</m:t>
                  </m:r>
                </m:sup>
              </m:sSubSup>
              <m:r>
                <w:rPr>
                  <w:rFonts w:ascii="Times New Roman" w:eastAsia="Times New Roman" w:hAnsi="Times New Roman" w:cs="Times New Roman"/>
                  <w:sz w:val="24"/>
                  <w:szCs w:val="24"/>
                </w:rPr>
                <m:t>)</m:t>
              </m:r>
            </m:oMath>
          </w:p>
        </w:tc>
        <w:tc>
          <w:tcPr>
            <w:tcW w:w="867" w:type="dxa"/>
            <w:tcMar>
              <w:top w:w="100" w:type="dxa"/>
              <w:left w:w="100" w:type="dxa"/>
              <w:bottom w:w="100" w:type="dxa"/>
              <w:right w:w="100" w:type="dxa"/>
            </w:tcMar>
          </w:tcPr>
          <w:p w14:paraId="36BCA9D6"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Hằng ngày</w:t>
            </w:r>
          </w:p>
        </w:tc>
      </w:tr>
    </w:tbl>
    <w:p w14:paraId="414A5B7D" w14:textId="77777777" w:rsidR="00A53B74" w:rsidRPr="00A53B74" w:rsidRDefault="00000000" w:rsidP="00A53B74">
      <w:pPr>
        <w:spacing w:before="240" w:after="240"/>
        <w:rPr>
          <w:rFonts w:eastAsia="Times New Roman"/>
          <w:lang w:val="en-US"/>
        </w:rPr>
      </w:pPr>
      <w:r>
        <w:rPr>
          <w:rFonts w:ascii="Times New Roman" w:eastAsia="Times New Roman" w:hAnsi="Times New Roman" w:cs="Times New Roman"/>
          <w:sz w:val="24"/>
          <w:szCs w:val="24"/>
        </w:rPr>
        <w:t xml:space="preserve">Trong đó,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P</m:t>
            </m:r>
          </m:e>
          <m:sub>
            <m:r>
              <w:rPr>
                <w:rFonts w:ascii="Times New Roman" w:eastAsia="Times New Roman" w:hAnsi="Times New Roman" w:cs="Times New Roman"/>
                <w:sz w:val="24"/>
                <w:szCs w:val="24"/>
              </w:rPr>
              <m:t>t</m:t>
            </m:r>
          </m:sub>
        </m:sSub>
      </m:oMath>
      <w:r>
        <w:rPr>
          <w:rFonts w:ascii="Times New Roman" w:eastAsia="Times New Roman" w:hAnsi="Times New Roman" w:cs="Times New Roman"/>
          <w:sz w:val="24"/>
          <w:szCs w:val="24"/>
        </w:rPr>
        <w:t xml:space="preserve"> là giá đóng cửa của tài sản tại ngày </w:t>
      </w:r>
      <m:oMath>
        <m:r>
          <w:rPr>
            <w:rFonts w:ascii="Times New Roman" w:eastAsia="Times New Roman" w:hAnsi="Times New Roman" w:cs="Times New Roman"/>
            <w:sz w:val="24"/>
            <w:szCs w:val="24"/>
          </w:rPr>
          <m:t>t</m:t>
        </m:r>
      </m:oMath>
      <w:r>
        <w:rPr>
          <w:rFonts w:ascii="Times New Roman" w:eastAsia="Times New Roman" w:hAnsi="Times New Roman" w:cs="Times New Roman"/>
          <w:sz w:val="24"/>
          <w:szCs w:val="24"/>
        </w:rPr>
        <w:t xml:space="preserve">. </w:t>
      </w:r>
      <w:r w:rsidR="00A53B74" w:rsidRPr="00A53B74">
        <w:rPr>
          <w:rFonts w:eastAsia="Times New Roman"/>
          <w:lang w:val="en-US"/>
        </w:rPr>
        <w:t>Trong các mô hình kinh tế lượng, biến phụ thuộc chính là lợi suất log hằng ngày của BTC và ETH. Trong mô hình học máy, biến mục tiêu riêng biệt là trị tuyệt đối của lợi suất log ngày kế tiếp, (|r_{t+</w:t>
      </w:r>
      <w:proofErr w:type="gramStart"/>
      <w:r w:rsidR="00A53B74" w:rsidRPr="00A53B74">
        <w:rPr>
          <w:rFonts w:eastAsia="Times New Roman"/>
          <w:lang w:val="en-US"/>
        </w:rPr>
        <w:t>1}|</w:t>
      </w:r>
      <w:proofErr w:type="gramEnd"/>
      <w:r w:rsidR="00A53B74" w:rsidRPr="00A53B74">
        <w:rPr>
          <w:rFonts w:eastAsia="Times New Roman"/>
          <w:lang w:val="en-US"/>
        </w:rPr>
        <w:t>), được sử dụng làm chỉ báo thay thế cho độ lớn biến động giá trong một ngày. Nghiên cứu không trực tiếp ước lượng một mô hình biến động riêng nếu không có đặc tả và kết quả thực nghiệm tương ứng.</w:t>
      </w:r>
    </w:p>
    <w:p w14:paraId="65C68808" w14:textId="5CA490FE" w:rsidR="00801403"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3.2. Biến giải thích chính: điều kiện tài chính toàn cầu </w:t>
      </w:r>
    </w:p>
    <w:p w14:paraId="0C5D89A7" w14:textId="77777777" w:rsidR="00801403" w:rsidRDefault="00801403">
      <w:pPr>
        <w:rPr>
          <w:rFonts w:ascii="Times New Roman" w:eastAsia="Times New Roman" w:hAnsi="Times New Roman" w:cs="Times New Roman"/>
          <w:sz w:val="24"/>
          <w:szCs w:val="24"/>
        </w:rPr>
      </w:pPr>
    </w:p>
    <w:tbl>
      <w:tblPr>
        <w:tblStyle w:val="a0"/>
        <w:tblW w:w="6687"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57"/>
        <w:gridCol w:w="1517"/>
        <w:gridCol w:w="3413"/>
      </w:tblGrid>
      <w:tr w:rsidR="00A53B74" w14:paraId="31E238BA" w14:textId="77777777" w:rsidTr="00A53B74">
        <w:trPr>
          <w:trHeight w:val="500"/>
        </w:trPr>
        <w:tc>
          <w:tcPr>
            <w:tcW w:w="1757" w:type="dxa"/>
            <w:tcMar>
              <w:top w:w="100" w:type="dxa"/>
              <w:left w:w="100" w:type="dxa"/>
              <w:bottom w:w="100" w:type="dxa"/>
              <w:right w:w="100" w:type="dxa"/>
            </w:tcMar>
          </w:tcPr>
          <w:p w14:paraId="7B7690F9" w14:textId="77777777" w:rsidR="00A53B74" w:rsidRDefault="00A53B74">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Biến</w:t>
            </w:r>
          </w:p>
        </w:tc>
        <w:tc>
          <w:tcPr>
            <w:tcW w:w="1517" w:type="dxa"/>
            <w:tcMar>
              <w:top w:w="100" w:type="dxa"/>
              <w:left w:w="100" w:type="dxa"/>
              <w:bottom w:w="100" w:type="dxa"/>
              <w:right w:w="100" w:type="dxa"/>
            </w:tcMar>
          </w:tcPr>
          <w:p w14:paraId="0EA4A156" w14:textId="77777777" w:rsidR="00A53B74" w:rsidRDefault="00A53B74">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Ký hiệu</w:t>
            </w:r>
          </w:p>
        </w:tc>
        <w:tc>
          <w:tcPr>
            <w:tcW w:w="3413" w:type="dxa"/>
            <w:tcMar>
              <w:top w:w="100" w:type="dxa"/>
              <w:left w:w="100" w:type="dxa"/>
              <w:bottom w:w="100" w:type="dxa"/>
              <w:right w:w="100" w:type="dxa"/>
            </w:tcMar>
          </w:tcPr>
          <w:p w14:paraId="5CCE23E7" w14:textId="305129EE" w:rsidR="00A53B74" w:rsidRDefault="00A53B74">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Định nghĩa </w:t>
            </w:r>
          </w:p>
        </w:tc>
      </w:tr>
      <w:tr w:rsidR="00A53B74" w14:paraId="383BA683" w14:textId="77777777" w:rsidTr="00A53B74">
        <w:trPr>
          <w:trHeight w:val="785"/>
        </w:trPr>
        <w:tc>
          <w:tcPr>
            <w:tcW w:w="1757" w:type="dxa"/>
            <w:tcMar>
              <w:top w:w="100" w:type="dxa"/>
              <w:left w:w="100" w:type="dxa"/>
              <w:bottom w:w="100" w:type="dxa"/>
              <w:right w:w="100" w:type="dxa"/>
            </w:tcMar>
          </w:tcPr>
          <w:p w14:paraId="144EFC46" w14:textId="77777777" w:rsidR="00A53B74" w:rsidRDefault="00A53B74">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Lợi suất trái phiếu Mỹ</w:t>
            </w:r>
          </w:p>
        </w:tc>
        <w:tc>
          <w:tcPr>
            <w:tcW w:w="1517" w:type="dxa"/>
            <w:tcMar>
              <w:top w:w="100" w:type="dxa"/>
              <w:left w:w="100" w:type="dxa"/>
              <w:bottom w:w="100" w:type="dxa"/>
              <w:right w:w="100" w:type="dxa"/>
            </w:tcMar>
          </w:tcPr>
          <w:p w14:paraId="3530CC91" w14:textId="550F7909" w:rsidR="00A53B74" w:rsidRPr="00A53B74" w:rsidRDefault="00A53B74">
            <w:pPr>
              <w:spacing w:before="240" w:after="240"/>
              <w:rPr>
                <w:rFonts w:ascii="Times New Roman" w:eastAsia="Times New Roman" w:hAnsi="Times New Roman" w:cs="Times New Roman"/>
                <w:sz w:val="24"/>
                <w:szCs w:val="24"/>
                <w:lang w:val="en-US"/>
              </w:rPr>
            </w:pPr>
            <m:oMathPara>
              <m:oMath>
                <m:r>
                  <w:rPr>
                    <w:rFonts w:ascii="Cambria Math" w:eastAsia="Times New Roman" w:hAnsi="Cambria Math" w:cs="Times New Roman"/>
                    <w:sz w:val="24"/>
                    <w:szCs w:val="24"/>
                  </w:rPr>
                  <m:t>US2</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t</m:t>
                    </m:r>
                  </m:sub>
                </m:sSub>
              </m:oMath>
            </m:oMathPara>
          </w:p>
        </w:tc>
        <w:tc>
          <w:tcPr>
            <w:tcW w:w="3413" w:type="dxa"/>
            <w:tcMar>
              <w:top w:w="100" w:type="dxa"/>
              <w:left w:w="100" w:type="dxa"/>
              <w:bottom w:w="100" w:type="dxa"/>
              <w:right w:w="100" w:type="dxa"/>
            </w:tcMar>
          </w:tcPr>
          <w:p w14:paraId="2C24A6ED" w14:textId="652F0FB3" w:rsidR="00A53B74" w:rsidRDefault="00621EE5">
            <w:pPr>
              <w:spacing w:before="240" w:after="240"/>
              <w:rPr>
                <w:rFonts w:ascii="Times New Roman" w:eastAsia="Times New Roman" w:hAnsi="Times New Roman" w:cs="Times New Roman"/>
                <w:sz w:val="24"/>
                <w:szCs w:val="24"/>
              </w:rPr>
            </w:pPr>
            <w:r w:rsidRPr="00621EE5">
              <w:rPr>
                <w:rFonts w:ascii="Times New Roman" w:eastAsia="Times New Roman" w:hAnsi="Times New Roman" w:cs="Times New Roman"/>
                <w:sz w:val="24"/>
                <w:szCs w:val="24"/>
              </w:rPr>
              <w:t>Lợi suất trái phiếu Chính phủ Mỹ, kỳ hạn 2 năm</w:t>
            </w:r>
          </w:p>
        </w:tc>
      </w:tr>
      <w:tr w:rsidR="00A53B74" w14:paraId="2994EE27" w14:textId="77777777" w:rsidTr="00A53B74">
        <w:trPr>
          <w:trHeight w:val="1055"/>
        </w:trPr>
        <w:tc>
          <w:tcPr>
            <w:tcW w:w="1757" w:type="dxa"/>
            <w:tcMar>
              <w:top w:w="100" w:type="dxa"/>
              <w:left w:w="100" w:type="dxa"/>
              <w:bottom w:w="100" w:type="dxa"/>
              <w:right w:w="100" w:type="dxa"/>
            </w:tcMar>
          </w:tcPr>
          <w:p w14:paraId="636FB439" w14:textId="77777777" w:rsidR="00A53B74" w:rsidRDefault="00A53B74">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Chỉ số USD</w:t>
            </w:r>
          </w:p>
        </w:tc>
        <w:tc>
          <w:tcPr>
            <w:tcW w:w="1517" w:type="dxa"/>
            <w:tcMar>
              <w:top w:w="100" w:type="dxa"/>
              <w:left w:w="100" w:type="dxa"/>
              <w:bottom w:w="100" w:type="dxa"/>
              <w:right w:w="100" w:type="dxa"/>
            </w:tcMar>
          </w:tcPr>
          <w:p w14:paraId="4F61D73B" w14:textId="754EA861" w:rsidR="00A53B74" w:rsidRPr="00621EE5" w:rsidRDefault="00621EE5">
            <w:pPr>
              <w:spacing w:before="240" w:after="240"/>
              <w:rPr>
                <w:rFonts w:ascii="Times New Roman" w:eastAsia="Times New Roman" w:hAnsi="Times New Roman" w:cs="Times New Roman"/>
                <w:i/>
                <w:sz w:val="24"/>
                <w:szCs w:val="24"/>
                <w:lang w:val="en-US"/>
              </w:rPr>
            </w:pPr>
            <w:r>
              <w:rPr>
                <w:rFonts w:ascii="Times New Roman" w:eastAsia="Times New Roman" w:hAnsi="Times New Roman" w:cs="Times New Roman"/>
                <w:i/>
                <w:sz w:val="24"/>
                <w:szCs w:val="24"/>
                <w:lang w:val="en-US"/>
              </w:rPr>
              <w:t>DXYt</w:t>
            </w:r>
          </w:p>
        </w:tc>
        <w:tc>
          <w:tcPr>
            <w:tcW w:w="3413" w:type="dxa"/>
            <w:tcMar>
              <w:top w:w="100" w:type="dxa"/>
              <w:left w:w="100" w:type="dxa"/>
              <w:bottom w:w="100" w:type="dxa"/>
              <w:right w:w="100" w:type="dxa"/>
            </w:tcMar>
          </w:tcPr>
          <w:p w14:paraId="778ADB2E" w14:textId="5309AA60" w:rsidR="00A53B74" w:rsidRPr="00621EE5" w:rsidRDefault="00621EE5">
            <w:pPr>
              <w:spacing w:before="240" w:after="240"/>
              <w:rPr>
                <w:rFonts w:ascii="Times New Roman" w:eastAsia="Times New Roman" w:hAnsi="Times New Roman" w:cs="Times New Roman"/>
                <w:sz w:val="24"/>
                <w:szCs w:val="24"/>
                <w:lang w:val="en-US"/>
              </w:rPr>
            </w:pPr>
            <w:r w:rsidRPr="00621EE5">
              <w:rPr>
                <w:rFonts w:ascii="Times New Roman" w:eastAsia="Times New Roman" w:hAnsi="Times New Roman" w:cs="Times New Roman"/>
                <w:sz w:val="24"/>
                <w:szCs w:val="24"/>
              </w:rPr>
              <w:t>Chỉ số sức mạnh đồng USD</w:t>
            </w:r>
          </w:p>
        </w:tc>
      </w:tr>
      <w:tr w:rsidR="00A53B74" w14:paraId="77F237C0" w14:textId="77777777" w:rsidTr="00A53B74">
        <w:trPr>
          <w:trHeight w:val="1055"/>
        </w:trPr>
        <w:tc>
          <w:tcPr>
            <w:tcW w:w="1757" w:type="dxa"/>
            <w:tcMar>
              <w:top w:w="100" w:type="dxa"/>
              <w:left w:w="100" w:type="dxa"/>
              <w:bottom w:w="100" w:type="dxa"/>
              <w:right w:w="100" w:type="dxa"/>
            </w:tcMar>
          </w:tcPr>
          <w:p w14:paraId="51812130" w14:textId="77777777" w:rsidR="00A53B74" w:rsidRDefault="00A53B74">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Chỉ số biến động thị trường</w:t>
            </w:r>
          </w:p>
        </w:tc>
        <w:tc>
          <w:tcPr>
            <w:tcW w:w="1517" w:type="dxa"/>
            <w:tcMar>
              <w:top w:w="100" w:type="dxa"/>
              <w:left w:w="100" w:type="dxa"/>
              <w:bottom w:w="100" w:type="dxa"/>
              <w:right w:w="100" w:type="dxa"/>
            </w:tcMar>
          </w:tcPr>
          <w:p w14:paraId="61E3122A" w14:textId="659E8AD8" w:rsidR="00A53B74" w:rsidRDefault="00A53B74">
            <w:pPr>
              <w:spacing w:before="240" w:after="24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VI</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t</m:t>
                    </m:r>
                  </m:sub>
                </m:sSub>
              </m:oMath>
            </m:oMathPara>
          </w:p>
        </w:tc>
        <w:tc>
          <w:tcPr>
            <w:tcW w:w="3413" w:type="dxa"/>
            <w:tcMar>
              <w:top w:w="100" w:type="dxa"/>
              <w:left w:w="100" w:type="dxa"/>
              <w:bottom w:w="100" w:type="dxa"/>
              <w:right w:w="100" w:type="dxa"/>
            </w:tcMar>
          </w:tcPr>
          <w:p w14:paraId="5F3CCC64" w14:textId="0471B70D" w:rsidR="00A53B74" w:rsidRDefault="00621EE5">
            <w:pPr>
              <w:spacing w:before="240" w:after="240"/>
              <w:rPr>
                <w:rFonts w:ascii="Times New Roman" w:eastAsia="Times New Roman" w:hAnsi="Times New Roman" w:cs="Times New Roman"/>
                <w:sz w:val="24"/>
                <w:szCs w:val="24"/>
              </w:rPr>
            </w:pPr>
            <w:r w:rsidRPr="00621EE5">
              <w:rPr>
                <w:rFonts w:ascii="Times New Roman" w:eastAsia="Times New Roman" w:hAnsi="Times New Roman" w:cs="Times New Roman"/>
                <w:sz w:val="24"/>
                <w:szCs w:val="24"/>
              </w:rPr>
              <w:t>Chỉ số VIX phản ánh kỳ vọng biến động của thị trường chứng khoán Mỹ</w:t>
            </w:r>
          </w:p>
        </w:tc>
      </w:tr>
    </w:tbl>
    <w:p w14:paraId="5233480F" w14:textId="5805BB94" w:rsidR="009E0CCF" w:rsidRPr="009E0CCF" w:rsidRDefault="009E0CCF" w:rsidP="009E0CCF">
      <w:pPr>
        <w:pStyle w:val="Heading2"/>
        <w:keepNext w:val="0"/>
        <w:keepLines w:val="0"/>
        <w:spacing w:after="80"/>
        <w:rPr>
          <w:rFonts w:ascii="Times New Roman" w:eastAsia="Times New Roman" w:hAnsi="Times New Roman" w:cs="Times New Roman"/>
          <w:sz w:val="24"/>
          <w:szCs w:val="24"/>
          <w:lang w:val="en-US"/>
        </w:rPr>
      </w:pPr>
      <w:r w:rsidRPr="009E0CCF">
        <w:rPr>
          <w:rFonts w:ascii="Times New Roman" w:eastAsia="Times New Roman" w:hAnsi="Times New Roman" w:cs="Times New Roman"/>
          <w:sz w:val="24"/>
          <w:szCs w:val="24"/>
        </w:rPr>
        <w:t xml:space="preserve">US2Y được biến đổi bằng sai phân bậc nhất, DXY bằng log-sai phân nhân 100 và VIX bằng sai phân bậc nhất. Các biến này đại diện cho sự thay đổi của điều kiện tài chính toàn cầu và không mặc nhiên được diễn giải là các cú sốc ngoại sinh. Dữ liệu vĩ mô được ghép với lịch </w:t>
      </w:r>
      <w:r w:rsidRPr="009E0CCF">
        <w:rPr>
          <w:rFonts w:ascii="Times New Roman" w:eastAsia="Times New Roman" w:hAnsi="Times New Roman" w:cs="Times New Roman"/>
          <w:sz w:val="24"/>
          <w:szCs w:val="24"/>
        </w:rPr>
        <w:lastRenderedPageBreak/>
        <w:t>crypto theo thời điểm quan sát và thời điểm thông tin thực sự có sẵn; giá trị được giữ từ lần quan sát trước không được xem là quan sát mới.</w:t>
      </w:r>
    </w:p>
    <w:p w14:paraId="7BD40A88" w14:textId="7929C339" w:rsidR="009E0CCF" w:rsidRDefault="00000000" w:rsidP="009E0CCF">
      <w:pPr>
        <w:pStyle w:val="Heading2"/>
        <w:keepNext w:val="0"/>
        <w:keepLines w:val="0"/>
        <w:spacing w:after="80"/>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3.3. Biến trạng thái và biến tương tác</w:t>
      </w:r>
    </w:p>
    <w:p w14:paraId="557EB670" w14:textId="77777777" w:rsidR="009E0CCF" w:rsidRPr="009E0CCF" w:rsidRDefault="009E0CCF" w:rsidP="009E0CCF">
      <w:pPr>
        <w:rPr>
          <w:lang w:val="en-US"/>
        </w:rPr>
      </w:pPr>
    </w:p>
    <w:tbl>
      <w:tblPr>
        <w:tblStyle w:val="a1"/>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034"/>
        <w:gridCol w:w="2279"/>
        <w:gridCol w:w="4712"/>
      </w:tblGrid>
      <w:tr w:rsidR="00801403" w14:paraId="66FFE9C3" w14:textId="77777777" w:rsidTr="00621EE5">
        <w:trPr>
          <w:trHeight w:val="500"/>
        </w:trPr>
        <w:tc>
          <w:tcPr>
            <w:tcW w:w="2034" w:type="dxa"/>
            <w:tcMar>
              <w:top w:w="100" w:type="dxa"/>
              <w:left w:w="100" w:type="dxa"/>
              <w:bottom w:w="100" w:type="dxa"/>
              <w:right w:w="100" w:type="dxa"/>
            </w:tcMar>
          </w:tcPr>
          <w:p w14:paraId="0CB24D3A"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Biến</w:t>
            </w:r>
          </w:p>
        </w:tc>
        <w:tc>
          <w:tcPr>
            <w:tcW w:w="2279" w:type="dxa"/>
            <w:tcMar>
              <w:top w:w="100" w:type="dxa"/>
              <w:left w:w="100" w:type="dxa"/>
              <w:bottom w:w="100" w:type="dxa"/>
              <w:right w:w="100" w:type="dxa"/>
            </w:tcMar>
          </w:tcPr>
          <w:p w14:paraId="2F495C33"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Ký hiệu</w:t>
            </w:r>
          </w:p>
        </w:tc>
        <w:tc>
          <w:tcPr>
            <w:tcW w:w="4712" w:type="dxa"/>
            <w:tcMar>
              <w:top w:w="100" w:type="dxa"/>
              <w:left w:w="100" w:type="dxa"/>
              <w:bottom w:w="100" w:type="dxa"/>
              <w:right w:w="100" w:type="dxa"/>
            </w:tcMar>
          </w:tcPr>
          <w:p w14:paraId="2C62D7DC"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Định nghĩa</w:t>
            </w:r>
          </w:p>
        </w:tc>
      </w:tr>
      <w:tr w:rsidR="00801403" w14:paraId="68457F23" w14:textId="77777777" w:rsidTr="00621EE5">
        <w:trPr>
          <w:trHeight w:val="785"/>
        </w:trPr>
        <w:tc>
          <w:tcPr>
            <w:tcW w:w="2034" w:type="dxa"/>
            <w:tcMar>
              <w:top w:w="100" w:type="dxa"/>
              <w:left w:w="100" w:type="dxa"/>
              <w:bottom w:w="100" w:type="dxa"/>
              <w:right w:w="100" w:type="dxa"/>
            </w:tcMar>
          </w:tcPr>
          <w:p w14:paraId="02B7CBB0"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Trạng thái căng thẳng</w:t>
            </w:r>
          </w:p>
        </w:tc>
        <w:tc>
          <w:tcPr>
            <w:tcW w:w="2279" w:type="dxa"/>
            <w:tcMar>
              <w:top w:w="100" w:type="dxa"/>
              <w:left w:w="100" w:type="dxa"/>
              <w:bottom w:w="100" w:type="dxa"/>
              <w:right w:w="100" w:type="dxa"/>
            </w:tcMar>
          </w:tcPr>
          <w:p w14:paraId="600DDD5A" w14:textId="77777777" w:rsidR="00801403"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Stres</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t</m:t>
                    </m:r>
                  </m:sub>
                </m:sSub>
              </m:oMath>
            </m:oMathPara>
          </w:p>
        </w:tc>
        <w:tc>
          <w:tcPr>
            <w:tcW w:w="4712" w:type="dxa"/>
            <w:tcMar>
              <w:top w:w="100" w:type="dxa"/>
              <w:left w:w="100" w:type="dxa"/>
              <w:bottom w:w="100" w:type="dxa"/>
              <w:right w:w="100" w:type="dxa"/>
            </w:tcMar>
          </w:tcPr>
          <w:p w14:paraId="0EF1AB4E" w14:textId="7C2500DC" w:rsidR="00801403" w:rsidRDefault="00192184">
            <w:pPr>
              <w:spacing w:before="240" w:after="240"/>
              <w:rPr>
                <w:rFonts w:ascii="Times New Roman" w:eastAsia="Times New Roman" w:hAnsi="Times New Roman" w:cs="Times New Roman"/>
                <w:sz w:val="24"/>
                <w:szCs w:val="24"/>
              </w:rPr>
            </w:pPr>
            <w:r w:rsidRPr="00192184">
              <w:rPr>
                <w:rFonts w:ascii="Times New Roman" w:eastAsia="Times New Roman" w:hAnsi="Times New Roman" w:cs="Times New Roman"/>
                <w:sz w:val="24"/>
                <w:szCs w:val="24"/>
              </w:rPr>
              <w:t>Bằng 1 khi VIX ở phiên vĩ mô trước đó ≥ 30; ngược lại là Calm</w:t>
            </w:r>
          </w:p>
        </w:tc>
      </w:tr>
      <w:tr w:rsidR="00801403" w14:paraId="35EC916E" w14:textId="77777777" w:rsidTr="00621EE5">
        <w:trPr>
          <w:trHeight w:val="785"/>
        </w:trPr>
        <w:tc>
          <w:tcPr>
            <w:tcW w:w="2034" w:type="dxa"/>
            <w:tcMar>
              <w:top w:w="100" w:type="dxa"/>
              <w:left w:w="100" w:type="dxa"/>
              <w:bottom w:w="100" w:type="dxa"/>
              <w:right w:w="100" w:type="dxa"/>
            </w:tcMar>
          </w:tcPr>
          <w:p w14:paraId="4D2B5D92" w14:textId="7D748AE5" w:rsidR="00801403" w:rsidRDefault="00A53B74">
            <w:pPr>
              <w:spacing w:before="240" w:after="240"/>
              <w:rPr>
                <w:rFonts w:ascii="Times New Roman" w:eastAsia="Times New Roman" w:hAnsi="Times New Roman" w:cs="Times New Roman"/>
                <w:sz w:val="24"/>
                <w:szCs w:val="24"/>
              </w:rPr>
            </w:pPr>
            <w:r w:rsidRPr="00A53B74">
              <w:rPr>
                <w:rFonts w:ascii="Times New Roman" w:eastAsia="Times New Roman" w:hAnsi="Times New Roman" w:cs="Times New Roman"/>
                <w:sz w:val="24"/>
                <w:szCs w:val="24"/>
              </w:rPr>
              <w:t>Tương tác biến tài chính – trạng thái căng thẳng</w:t>
            </w:r>
          </w:p>
        </w:tc>
        <w:tc>
          <w:tcPr>
            <w:tcW w:w="2279" w:type="dxa"/>
            <w:tcMar>
              <w:top w:w="100" w:type="dxa"/>
              <w:left w:w="100" w:type="dxa"/>
              <w:bottom w:w="100" w:type="dxa"/>
              <w:right w:w="100" w:type="dxa"/>
            </w:tcMar>
          </w:tcPr>
          <w:p w14:paraId="13B18D8C" w14:textId="1D00247B" w:rsidR="00801403" w:rsidRDefault="00192184">
            <w:pPr>
              <w:spacing w:before="240" w:after="24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m:t>
                </m:r>
                <m:r>
                  <w:rPr>
                    <w:rFonts w:ascii="Cambria Math" w:eastAsia="Times New Roman" w:hAnsi="Cambria Math" w:cs="Times New Roman"/>
                    <w:sz w:val="24"/>
                    <w:szCs w:val="24"/>
                    <w:lang w:val="en-US"/>
                  </w:rPr>
                  <m:t>acr</m:t>
                </m:r>
                <m:sSub>
                  <m:sSubPr>
                    <m:ctrlPr>
                      <w:rPr>
                        <w:rFonts w:ascii="Times New Roman" w:eastAsia="Times New Roman" w:hAnsi="Times New Roman" w:cs="Times New Roman"/>
                        <w:sz w:val="24"/>
                        <w:szCs w:val="24"/>
                      </w:rPr>
                    </m:ctrlPr>
                  </m:sSubPr>
                  <m:e>
                    <m:r>
                      <w:rPr>
                        <w:rFonts w:ascii="Cambria Math" w:eastAsia="Times New Roman" w:hAnsi="Times New Roman" w:cs="Times New Roman"/>
                        <w:sz w:val="24"/>
                        <w:szCs w:val="24"/>
                      </w:rPr>
                      <m:t>o</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×Stres</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t</m:t>
                    </m:r>
                  </m:sub>
                </m:sSub>
              </m:oMath>
            </m:oMathPara>
          </w:p>
        </w:tc>
        <w:tc>
          <w:tcPr>
            <w:tcW w:w="4712" w:type="dxa"/>
            <w:tcMar>
              <w:top w:w="100" w:type="dxa"/>
              <w:left w:w="100" w:type="dxa"/>
              <w:bottom w:w="100" w:type="dxa"/>
              <w:right w:w="100" w:type="dxa"/>
            </w:tcMar>
          </w:tcPr>
          <w:p w14:paraId="1D8FEFBB" w14:textId="1FF1B594" w:rsidR="00801403" w:rsidRDefault="00192184">
            <w:pPr>
              <w:spacing w:before="240" w:after="240"/>
              <w:rPr>
                <w:rFonts w:ascii="Times New Roman" w:eastAsia="Times New Roman" w:hAnsi="Times New Roman" w:cs="Times New Roman"/>
                <w:sz w:val="24"/>
                <w:szCs w:val="24"/>
              </w:rPr>
            </w:pPr>
            <w:r w:rsidRPr="00192184">
              <w:rPr>
                <w:rFonts w:ascii="Times New Roman" w:eastAsia="Times New Roman" w:hAnsi="Times New Roman" w:cs="Times New Roman"/>
                <w:sz w:val="24"/>
                <w:szCs w:val="24"/>
              </w:rPr>
              <w:t>Kiểm định trực tiếp khác biệt hệ số giữa Calm và Stress trong LP</w:t>
            </w:r>
          </w:p>
        </w:tc>
      </w:tr>
      <w:tr w:rsidR="00801403" w14:paraId="28A98D38" w14:textId="77777777" w:rsidTr="00621EE5">
        <w:trPr>
          <w:trHeight w:val="785"/>
        </w:trPr>
        <w:tc>
          <w:tcPr>
            <w:tcW w:w="2034" w:type="dxa"/>
            <w:tcMar>
              <w:top w:w="100" w:type="dxa"/>
              <w:left w:w="100" w:type="dxa"/>
              <w:bottom w:w="100" w:type="dxa"/>
              <w:right w:w="100" w:type="dxa"/>
            </w:tcMar>
          </w:tcPr>
          <w:p w14:paraId="4F940127" w14:textId="46382DAC" w:rsidR="00801403" w:rsidRDefault="00621EE5">
            <w:pPr>
              <w:spacing w:before="240" w:after="240"/>
              <w:rPr>
                <w:rFonts w:ascii="Times New Roman" w:eastAsia="Times New Roman" w:hAnsi="Times New Roman" w:cs="Times New Roman"/>
                <w:sz w:val="24"/>
                <w:szCs w:val="24"/>
              </w:rPr>
            </w:pPr>
            <w:r w:rsidRPr="00621EE5">
              <w:rPr>
                <w:rFonts w:ascii="Times New Roman" w:eastAsia="Times New Roman" w:hAnsi="Times New Roman" w:cs="Times New Roman"/>
                <w:sz w:val="24"/>
                <w:szCs w:val="24"/>
              </w:rPr>
              <w:t>Giai đoạn 2020–2025</w:t>
            </w:r>
          </w:p>
        </w:tc>
        <w:tc>
          <w:tcPr>
            <w:tcW w:w="2279" w:type="dxa"/>
            <w:tcMar>
              <w:top w:w="100" w:type="dxa"/>
              <w:left w:w="100" w:type="dxa"/>
              <w:bottom w:w="100" w:type="dxa"/>
              <w:right w:w="100" w:type="dxa"/>
            </w:tcMar>
          </w:tcPr>
          <w:p w14:paraId="7BFD06FD" w14:textId="77777777" w:rsidR="00801403" w:rsidRDefault="00000000">
            <w:pPr>
              <w:spacing w:before="240" w:after="240"/>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Post202</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0</m:t>
                    </m:r>
                  </m:e>
                  <m:sub>
                    <m:r>
                      <w:rPr>
                        <w:rFonts w:ascii="Times New Roman" w:eastAsia="Times New Roman" w:hAnsi="Times New Roman" w:cs="Times New Roman"/>
                        <w:sz w:val="24"/>
                        <w:szCs w:val="24"/>
                      </w:rPr>
                      <m:t>t</m:t>
                    </m:r>
                  </m:sub>
                </m:sSub>
              </m:oMath>
            </m:oMathPara>
          </w:p>
        </w:tc>
        <w:tc>
          <w:tcPr>
            <w:tcW w:w="4712" w:type="dxa"/>
            <w:tcMar>
              <w:top w:w="100" w:type="dxa"/>
              <w:left w:w="100" w:type="dxa"/>
              <w:bottom w:w="100" w:type="dxa"/>
              <w:right w:w="100" w:type="dxa"/>
            </w:tcMar>
          </w:tcPr>
          <w:p w14:paraId="3501FF3D" w14:textId="286A9972" w:rsidR="00801403" w:rsidRDefault="00192184">
            <w:pPr>
              <w:spacing w:before="240" w:after="240"/>
              <w:rPr>
                <w:rFonts w:ascii="Times New Roman" w:eastAsia="Times New Roman" w:hAnsi="Times New Roman" w:cs="Times New Roman"/>
                <w:sz w:val="24"/>
                <w:szCs w:val="24"/>
              </w:rPr>
            </w:pPr>
            <w:r w:rsidRPr="00192184">
              <w:rPr>
                <w:rFonts w:ascii="Times New Roman" w:eastAsia="Times New Roman" w:hAnsi="Times New Roman" w:cs="Times New Roman"/>
                <w:sz w:val="24"/>
                <w:szCs w:val="24"/>
              </w:rPr>
              <w:t>Bằng 0 cho 2018–2019 và bằng 1 cho 2020–2025</w:t>
            </w:r>
          </w:p>
        </w:tc>
      </w:tr>
      <w:tr w:rsidR="00801403" w14:paraId="5CB9A648" w14:textId="77777777" w:rsidTr="00621EE5">
        <w:trPr>
          <w:trHeight w:val="785"/>
        </w:trPr>
        <w:tc>
          <w:tcPr>
            <w:tcW w:w="2034" w:type="dxa"/>
            <w:tcMar>
              <w:top w:w="100" w:type="dxa"/>
              <w:left w:w="100" w:type="dxa"/>
              <w:bottom w:w="100" w:type="dxa"/>
              <w:right w:w="100" w:type="dxa"/>
            </w:tcMar>
          </w:tcPr>
          <w:p w14:paraId="0B9B70D1" w14:textId="5107A8B9" w:rsidR="00801403" w:rsidRDefault="00621EE5">
            <w:pPr>
              <w:spacing w:before="240" w:after="240"/>
              <w:rPr>
                <w:rFonts w:ascii="Times New Roman" w:eastAsia="Times New Roman" w:hAnsi="Times New Roman" w:cs="Times New Roman"/>
                <w:sz w:val="24"/>
                <w:szCs w:val="24"/>
              </w:rPr>
            </w:pPr>
            <w:r w:rsidRPr="00621EE5">
              <w:rPr>
                <w:rFonts w:ascii="Times New Roman" w:eastAsia="Times New Roman" w:hAnsi="Times New Roman" w:cs="Times New Roman"/>
                <w:sz w:val="24"/>
                <w:szCs w:val="24"/>
              </w:rPr>
              <w:t>Tương tác biến tài chính – giai đoạn 2020–2025</w:t>
            </w:r>
          </w:p>
        </w:tc>
        <w:tc>
          <w:tcPr>
            <w:tcW w:w="2279" w:type="dxa"/>
            <w:tcMar>
              <w:top w:w="100" w:type="dxa"/>
              <w:left w:w="100" w:type="dxa"/>
              <w:bottom w:w="100" w:type="dxa"/>
              <w:right w:w="100" w:type="dxa"/>
            </w:tcMar>
          </w:tcPr>
          <w:p w14:paraId="6543C2BD" w14:textId="7C864FE6" w:rsidR="00801403" w:rsidRDefault="00192184">
            <w:pPr>
              <w:spacing w:before="240" w:after="24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m:t>
                </m:r>
                <m:r>
                  <w:rPr>
                    <w:rFonts w:ascii="Cambria Math" w:eastAsia="Times New Roman" w:hAnsi="Cambria Math" w:cs="Times New Roman"/>
                    <w:sz w:val="24"/>
                    <w:szCs w:val="24"/>
                    <w:lang w:val="en-US"/>
                  </w:rPr>
                  <m:t>acr</m:t>
                </m:r>
                <m:sSub>
                  <m:sSubPr>
                    <m:ctrlPr>
                      <w:rPr>
                        <w:rFonts w:ascii="Times New Roman" w:eastAsia="Times New Roman" w:hAnsi="Times New Roman" w:cs="Times New Roman"/>
                        <w:sz w:val="24"/>
                        <w:szCs w:val="24"/>
                      </w:rPr>
                    </m:ctrlPr>
                  </m:sSubPr>
                  <m:e>
                    <m:r>
                      <w:rPr>
                        <w:rFonts w:ascii="Cambria Math" w:eastAsia="Times New Roman" w:hAnsi="Cambria Math" w:cs="Times New Roman"/>
                        <w:sz w:val="24"/>
                        <w:szCs w:val="24"/>
                      </w:rPr>
                      <m:t>o</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×Post202</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0</m:t>
                    </m:r>
                  </m:e>
                  <m:sub>
                    <m:r>
                      <w:rPr>
                        <w:rFonts w:ascii="Times New Roman" w:eastAsia="Times New Roman" w:hAnsi="Times New Roman" w:cs="Times New Roman"/>
                        <w:sz w:val="24"/>
                        <w:szCs w:val="24"/>
                      </w:rPr>
                      <m:t>t</m:t>
                    </m:r>
                  </m:sub>
                </m:sSub>
              </m:oMath>
            </m:oMathPara>
          </w:p>
        </w:tc>
        <w:tc>
          <w:tcPr>
            <w:tcW w:w="4712" w:type="dxa"/>
            <w:tcMar>
              <w:top w:w="100" w:type="dxa"/>
              <w:left w:w="100" w:type="dxa"/>
              <w:bottom w:w="100" w:type="dxa"/>
              <w:right w:w="100" w:type="dxa"/>
            </w:tcMar>
          </w:tcPr>
          <w:p w14:paraId="7392AB11" w14:textId="77777777"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Đo lường sự khác biệt trong phản ứng giữa hai giai đoạn</w:t>
            </w:r>
          </w:p>
        </w:tc>
      </w:tr>
    </w:tbl>
    <w:p w14:paraId="3F8D6414" w14:textId="77777777" w:rsidR="00621EE5" w:rsidRPr="00621EE5" w:rsidRDefault="00621EE5" w:rsidP="00621EE5">
      <w:pPr>
        <w:pStyle w:val="Heading2"/>
        <w:spacing w:after="80"/>
        <w:rPr>
          <w:rFonts w:ascii="Times New Roman" w:eastAsia="Times New Roman" w:hAnsi="Times New Roman" w:cs="Times New Roman"/>
          <w:sz w:val="24"/>
          <w:szCs w:val="24"/>
          <w:lang w:val="en-US"/>
        </w:rPr>
      </w:pPr>
      <w:r w:rsidRPr="00621EE5">
        <w:rPr>
          <w:rFonts w:ascii="Times New Roman" w:eastAsia="Times New Roman" w:hAnsi="Times New Roman" w:cs="Times New Roman"/>
          <w:sz w:val="24"/>
          <w:szCs w:val="24"/>
          <w:lang w:val="en-US"/>
        </w:rPr>
        <w:t>Mốc năm 2020 được sử dụng để phân chia hai giai đoạn theo thiết kế nghiên cứu, không được xem là bằng chứng về thời điểm bắt đầu của quá trình gia tăng sự tham gia của nhà đầu tư tổ chức. Việc xác định điểm gãy cấu trúc nội sinh chỉ được thực hiện nếu có phương pháp và kết quả kiểm định tương ứng.</w:t>
      </w:r>
    </w:p>
    <w:p w14:paraId="2ED07857" w14:textId="77777777" w:rsidR="00801403" w:rsidRDefault="00000000">
      <w:pPr>
        <w:pStyle w:val="Heading2"/>
        <w:keepNext w:val="0"/>
        <w:keepLines w:val="0"/>
        <w:spacing w:after="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3.4. Biến mục tiêu cho mô hình học máy</w:t>
      </w:r>
    </w:p>
    <w:tbl>
      <w:tblPr>
        <w:tblStyle w:val="a2"/>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18"/>
        <w:gridCol w:w="4380"/>
        <w:gridCol w:w="3027"/>
      </w:tblGrid>
      <w:tr w:rsidR="00801403" w14:paraId="017BCD33" w14:textId="77777777" w:rsidTr="00BD4DA3">
        <w:trPr>
          <w:trHeight w:val="500"/>
        </w:trPr>
        <w:tc>
          <w:tcPr>
            <w:tcW w:w="1618" w:type="dxa"/>
            <w:tcMar>
              <w:top w:w="100" w:type="dxa"/>
              <w:left w:w="100" w:type="dxa"/>
              <w:bottom w:w="100" w:type="dxa"/>
              <w:right w:w="100" w:type="dxa"/>
            </w:tcMar>
          </w:tcPr>
          <w:p w14:paraId="0EA5789A"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Biến mục tiêu</w:t>
            </w:r>
          </w:p>
        </w:tc>
        <w:tc>
          <w:tcPr>
            <w:tcW w:w="4380" w:type="dxa"/>
            <w:tcMar>
              <w:top w:w="100" w:type="dxa"/>
              <w:left w:w="100" w:type="dxa"/>
              <w:bottom w:w="100" w:type="dxa"/>
              <w:right w:w="100" w:type="dxa"/>
            </w:tcMar>
          </w:tcPr>
          <w:p w14:paraId="7D105AFF"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Định nghĩa dự kiến</w:t>
            </w:r>
          </w:p>
        </w:tc>
        <w:tc>
          <w:tcPr>
            <w:tcW w:w="3027" w:type="dxa"/>
            <w:tcMar>
              <w:top w:w="100" w:type="dxa"/>
              <w:left w:w="100" w:type="dxa"/>
              <w:bottom w:w="100" w:type="dxa"/>
              <w:right w:w="100" w:type="dxa"/>
            </w:tcMar>
          </w:tcPr>
          <w:p w14:paraId="777FEB89" w14:textId="77777777" w:rsidR="00801403" w:rsidRDefault="00000000">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p>
        </w:tc>
      </w:tr>
      <w:tr w:rsidR="00801403" w14:paraId="00EE0683" w14:textId="77777777" w:rsidTr="00BD4DA3">
        <w:trPr>
          <w:trHeight w:val="785"/>
        </w:trPr>
        <w:tc>
          <w:tcPr>
            <w:tcW w:w="1618" w:type="dxa"/>
            <w:tcMar>
              <w:top w:w="100" w:type="dxa"/>
              <w:left w:w="100" w:type="dxa"/>
              <w:bottom w:w="100" w:type="dxa"/>
              <w:right w:w="100" w:type="dxa"/>
            </w:tcMar>
          </w:tcPr>
          <w:p w14:paraId="057BDCB2" w14:textId="7AD13EE0" w:rsidR="00801403" w:rsidRDefault="00CF54CC">
            <w:pPr>
              <w:spacing w:before="240" w:after="240"/>
              <w:rPr>
                <w:rFonts w:ascii="Times New Roman" w:eastAsia="Times New Roman" w:hAnsi="Times New Roman" w:cs="Times New Roman"/>
                <w:sz w:val="24"/>
                <w:szCs w:val="24"/>
              </w:rPr>
            </w:pPr>
            <w:r w:rsidRPr="00CF54CC">
              <w:rPr>
                <w:rFonts w:ascii="Times New Roman" w:eastAsia="Times New Roman" w:hAnsi="Times New Roman" w:cs="Times New Roman"/>
                <w:sz w:val="24"/>
                <w:szCs w:val="24"/>
              </w:rPr>
              <w:t>Độ lớn lợi suất ngày kế tiếp</w:t>
            </w:r>
          </w:p>
        </w:tc>
        <w:tc>
          <w:tcPr>
            <w:tcW w:w="4380" w:type="dxa"/>
            <w:tcMar>
              <w:top w:w="100" w:type="dxa"/>
              <w:left w:w="100" w:type="dxa"/>
              <w:bottom w:w="100" w:type="dxa"/>
              <w:right w:w="100" w:type="dxa"/>
            </w:tcMar>
          </w:tcPr>
          <w:p w14:paraId="7BCE50DC" w14:textId="15FDEAC0" w:rsidR="00801403" w:rsidRPr="008E6506" w:rsidRDefault="008E6506">
            <w:pPr>
              <w:spacing w:before="240" w:after="240"/>
              <w:rPr>
                <w:rFonts w:ascii="Times New Roman" w:eastAsia="Times New Roman" w:hAnsi="Times New Roman" w:cs="Times New Roman"/>
                <w:sz w:val="24"/>
                <w:szCs w:val="24"/>
                <w:lang w:val="en-US"/>
              </w:rPr>
            </w:pPr>
            <w:r>
              <w:t>y</w:t>
            </w:r>
            <w:r>
              <w:rPr>
                <w:rFonts w:ascii="Cambria Math" w:hAnsi="Cambria Math" w:cs="Cambria Math"/>
              </w:rPr>
              <w:t>ₜ₊₁</w:t>
            </w:r>
            <w:r>
              <w:t xml:space="preserve"> = |r</w:t>
            </w:r>
            <w:r>
              <w:rPr>
                <w:rFonts w:ascii="Cambria Math" w:hAnsi="Cambria Math" w:cs="Cambria Math"/>
              </w:rPr>
              <w:t>ₜ₊₁</w:t>
            </w:r>
            <w:r>
              <w:t>| = |100 × ln(P</w:t>
            </w:r>
            <w:r>
              <w:rPr>
                <w:rFonts w:ascii="Cambria Math" w:hAnsi="Cambria Math" w:cs="Cambria Math"/>
              </w:rPr>
              <w:t>ₜ₊₁</w:t>
            </w:r>
            <w:r>
              <w:t>/P</w:t>
            </w:r>
            <w:r>
              <w:rPr>
                <w:rFonts w:ascii="Cambria Math" w:hAnsi="Cambria Math" w:cs="Cambria Math"/>
              </w:rPr>
              <w:t>ₜ</w:t>
            </w:r>
            <w:r>
              <w:t>)|</w:t>
            </w:r>
            <w:r>
              <w:rPr>
                <w:lang w:val="en-US"/>
              </w:rPr>
              <w:t xml:space="preserve">, </w:t>
            </w:r>
            <w:r>
              <w:t>chỉ báo thay thế cho độ lớn biến động giá trong một ngày (absolute log return)</w:t>
            </w:r>
          </w:p>
        </w:tc>
        <w:tc>
          <w:tcPr>
            <w:tcW w:w="3027" w:type="dxa"/>
            <w:tcMar>
              <w:top w:w="100" w:type="dxa"/>
              <w:left w:w="100" w:type="dxa"/>
              <w:bottom w:w="100" w:type="dxa"/>
              <w:right w:w="100" w:type="dxa"/>
            </w:tcMar>
          </w:tcPr>
          <w:p w14:paraId="3500F61A" w14:textId="710A7FF5" w:rsidR="00801403" w:rsidRDefault="00CF54CC">
            <w:pPr>
              <w:spacing w:before="240" w:after="240"/>
              <w:rPr>
                <w:rFonts w:ascii="Times New Roman" w:eastAsia="Times New Roman" w:hAnsi="Times New Roman" w:cs="Times New Roman"/>
                <w:sz w:val="24"/>
                <w:szCs w:val="24"/>
              </w:rPr>
            </w:pPr>
            <w:r w:rsidRPr="00CF54CC">
              <w:rPr>
                <w:rFonts w:ascii="Times New Roman" w:eastAsia="Times New Roman" w:hAnsi="Times New Roman" w:cs="Times New Roman"/>
                <w:sz w:val="24"/>
                <w:szCs w:val="24"/>
              </w:rPr>
              <w:t>Dự báo ngoài mẫu; đơn vị phần trăm mỗi ngày</w:t>
            </w:r>
          </w:p>
        </w:tc>
      </w:tr>
    </w:tbl>
    <w:p w14:paraId="1C6BD282" w14:textId="77777777" w:rsidR="00813DBC" w:rsidRPr="00813DBC" w:rsidRDefault="00813DBC" w:rsidP="00813DBC">
      <w:pPr>
        <w:spacing w:before="240" w:after="240"/>
        <w:ind w:firstLine="72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lastRenderedPageBreak/>
        <w:t>Trong mô hình học máy, bộ Crypto-only gồm 40 đặc trưng từ độ trễ lợi suất BTC/ETH, trị tuyệt đối lợi suất, trung bình và độ lệch chuẩn cuốn chiếu của trị tuyệt đối lợi suất trong các cửa sổ 3, 7, 14 và 30 ngày, cùng biến chu kỳ trong tuần. Bộ Crypto + Macro giữ nguyên 40 đặc trưng này và bổ sung 12 đặc trưng từ US2Y, DXY và VIX, nâng tổng số lên 52.</w:t>
      </w:r>
    </w:p>
    <w:p w14:paraId="6F7789C9" w14:textId="77777777" w:rsidR="00813DBC" w:rsidRPr="00813DBC" w:rsidRDefault="00813DBC" w:rsidP="00813DBC">
      <w:pPr>
        <w:spacing w:before="240" w:after="240"/>
        <w:ind w:firstLine="72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Để tránh rò rỉ dữ liệu tương lai, biến mục tiêu là trị tuyệt đối lợi suất của ngày t+1 và không được đưa vào đặc trưng tại ngày t. Với dữ liệu vĩ mô, mô hình chỉ sử dụng thông tin theo giả định trễ tối thiểu một ngày; mức gần nhất đã biết có thể được dùng ở ngày tiếp theo, còn cờ quan sát mới và mức thay đổi không được lặp giả tạo trong ngày nghỉ. Giá trị thiếu và chuẩn hóa được xử lý dựa trên tập huấn luyện; năm 2025 chỉ dùng để đánh giá ngoài mẫu cuối cùng.</w:t>
      </w:r>
    </w:p>
    <w:p w14:paraId="11885A2D" w14:textId="77777777" w:rsidR="00801403"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Cấu hình nghiên cứu</w:t>
      </w:r>
    </w:p>
    <w:p w14:paraId="36F82B51" w14:textId="77777777" w:rsidR="00801403" w:rsidRDefault="00000000">
      <w:pPr>
        <w:pStyle w:val="Heading2"/>
        <w:keepNext w:val="0"/>
        <w:keepLines w:val="0"/>
        <w:spacing w:after="80"/>
        <w:rPr>
          <w:rFonts w:ascii="Times New Roman" w:eastAsia="Times New Roman" w:hAnsi="Times New Roman" w:cs="Times New Roman"/>
          <w:b/>
          <w:bCs/>
          <w:sz w:val="24"/>
          <w:szCs w:val="24"/>
        </w:rPr>
      </w:pPr>
      <w:bookmarkStart w:id="0" w:name="_p90zrcevcvas" w:colFirst="0" w:colLast="0"/>
      <w:bookmarkEnd w:id="0"/>
      <w:r>
        <w:rPr>
          <w:rFonts w:ascii="Times New Roman" w:eastAsia="Times New Roman" w:hAnsi="Times New Roman" w:cs="Times New Roman"/>
          <w:b/>
          <w:bCs/>
          <w:sz w:val="24"/>
          <w:szCs w:val="24"/>
        </w:rPr>
        <w:t>4.1. Cấu hình dữ liệu</w:t>
      </w:r>
    </w:p>
    <w:tbl>
      <w:tblPr>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4A0" w:firstRow="1" w:lastRow="0" w:firstColumn="1" w:lastColumn="0" w:noHBand="0" w:noVBand="1"/>
      </w:tblPr>
      <w:tblGrid>
        <w:gridCol w:w="2203"/>
        <w:gridCol w:w="6822"/>
      </w:tblGrid>
      <w:tr w:rsidR="00813DBC" w:rsidRPr="00813DBC" w14:paraId="29FC024B" w14:textId="77777777" w:rsidTr="00A53B74">
        <w:trPr>
          <w:trHeight w:val="500"/>
        </w:trPr>
        <w:tc>
          <w:tcPr>
            <w:tcW w:w="2203" w:type="dxa"/>
            <w:shd w:val="clear" w:color="auto" w:fill="FFFFFF"/>
            <w:tcMar>
              <w:top w:w="100" w:type="dxa"/>
              <w:left w:w="100" w:type="dxa"/>
              <w:bottom w:w="100" w:type="dxa"/>
              <w:right w:w="100" w:type="dxa"/>
            </w:tcMar>
            <w:hideMark/>
          </w:tcPr>
          <w:p w14:paraId="0E7C985D" w14:textId="64E2AB9D" w:rsidR="00813DBC" w:rsidRPr="00813DBC" w:rsidRDefault="00813DBC" w:rsidP="00813DBC">
            <w:pPr>
              <w:spacing w:before="240" w:after="240"/>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Th</w:t>
            </w:r>
            <w:r w:rsidRPr="00813DBC">
              <w:rPr>
                <w:rFonts w:ascii="Times New Roman" w:eastAsia="Times New Roman" w:hAnsi="Times New Roman" w:cs="Times New Roman"/>
                <w:b/>
                <w:bCs/>
                <w:sz w:val="24"/>
                <w:szCs w:val="24"/>
                <w:lang w:val="en-US"/>
              </w:rPr>
              <w:t>ành phần</w:t>
            </w:r>
          </w:p>
        </w:tc>
        <w:tc>
          <w:tcPr>
            <w:tcW w:w="6822" w:type="dxa"/>
            <w:shd w:val="clear" w:color="auto" w:fill="FFFFFF"/>
            <w:tcMar>
              <w:top w:w="100" w:type="dxa"/>
              <w:left w:w="100" w:type="dxa"/>
              <w:bottom w:w="100" w:type="dxa"/>
              <w:right w:w="100" w:type="dxa"/>
            </w:tcMar>
            <w:hideMark/>
          </w:tcPr>
          <w:p w14:paraId="5CEDCDC6"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b/>
                <w:bCs/>
                <w:sz w:val="24"/>
                <w:szCs w:val="24"/>
                <w:lang w:val="en-US"/>
              </w:rPr>
              <w:t xml:space="preserve">Cấu hình </w:t>
            </w:r>
          </w:p>
        </w:tc>
      </w:tr>
      <w:tr w:rsidR="00813DBC" w:rsidRPr="00813DBC" w14:paraId="5A84D6FA" w14:textId="77777777" w:rsidTr="00A53B74">
        <w:trPr>
          <w:trHeight w:val="785"/>
        </w:trPr>
        <w:tc>
          <w:tcPr>
            <w:tcW w:w="2203" w:type="dxa"/>
            <w:shd w:val="clear" w:color="auto" w:fill="FFFFFF"/>
            <w:tcMar>
              <w:top w:w="100" w:type="dxa"/>
              <w:left w:w="100" w:type="dxa"/>
              <w:bottom w:w="100" w:type="dxa"/>
              <w:right w:w="100" w:type="dxa"/>
            </w:tcMar>
            <w:hideMark/>
          </w:tcPr>
          <w:p w14:paraId="43F0B729"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Đối tượng nghiên cứu</w:t>
            </w:r>
          </w:p>
        </w:tc>
        <w:tc>
          <w:tcPr>
            <w:tcW w:w="6822" w:type="dxa"/>
            <w:shd w:val="clear" w:color="auto" w:fill="FFFFFF"/>
            <w:tcMar>
              <w:top w:w="100" w:type="dxa"/>
              <w:left w:w="100" w:type="dxa"/>
              <w:bottom w:w="100" w:type="dxa"/>
              <w:right w:w="100" w:type="dxa"/>
            </w:tcMar>
            <w:hideMark/>
          </w:tcPr>
          <w:p w14:paraId="04AF776A"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Bitcoin (BTC) và Ethereum (ETH)</w:t>
            </w:r>
          </w:p>
        </w:tc>
      </w:tr>
      <w:tr w:rsidR="00813DBC" w:rsidRPr="00813DBC" w14:paraId="759740BE" w14:textId="77777777" w:rsidTr="00A53B74">
        <w:trPr>
          <w:trHeight w:val="500"/>
        </w:trPr>
        <w:tc>
          <w:tcPr>
            <w:tcW w:w="2203" w:type="dxa"/>
            <w:shd w:val="clear" w:color="auto" w:fill="FFFFFF"/>
            <w:tcMar>
              <w:top w:w="100" w:type="dxa"/>
              <w:left w:w="100" w:type="dxa"/>
              <w:bottom w:w="100" w:type="dxa"/>
              <w:right w:w="100" w:type="dxa"/>
            </w:tcMar>
            <w:hideMark/>
          </w:tcPr>
          <w:p w14:paraId="35381AE0"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Nguồn giá crypto</w:t>
            </w:r>
          </w:p>
        </w:tc>
        <w:tc>
          <w:tcPr>
            <w:tcW w:w="6822" w:type="dxa"/>
            <w:shd w:val="clear" w:color="auto" w:fill="FFFFFF"/>
            <w:tcMar>
              <w:top w:w="100" w:type="dxa"/>
              <w:left w:w="100" w:type="dxa"/>
              <w:bottom w:w="100" w:type="dxa"/>
              <w:right w:w="100" w:type="dxa"/>
            </w:tcMar>
            <w:hideMark/>
          </w:tcPr>
          <w:p w14:paraId="446BC5FC"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Yahoo Finance</w:t>
            </w:r>
          </w:p>
        </w:tc>
      </w:tr>
      <w:tr w:rsidR="00813DBC" w:rsidRPr="00813DBC" w14:paraId="46031D15" w14:textId="77777777" w:rsidTr="00A53B74">
        <w:trPr>
          <w:trHeight w:val="500"/>
        </w:trPr>
        <w:tc>
          <w:tcPr>
            <w:tcW w:w="2203" w:type="dxa"/>
            <w:shd w:val="clear" w:color="auto" w:fill="FFFFFF"/>
            <w:tcMar>
              <w:top w:w="100" w:type="dxa"/>
              <w:left w:w="100" w:type="dxa"/>
              <w:bottom w:w="100" w:type="dxa"/>
              <w:right w:w="100" w:type="dxa"/>
            </w:tcMar>
            <w:hideMark/>
          </w:tcPr>
          <w:p w14:paraId="469B9DF4"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Giai đoạn thực nghiệm</w:t>
            </w:r>
          </w:p>
        </w:tc>
        <w:tc>
          <w:tcPr>
            <w:tcW w:w="6822" w:type="dxa"/>
            <w:shd w:val="clear" w:color="auto" w:fill="FFFFFF"/>
            <w:tcMar>
              <w:top w:w="100" w:type="dxa"/>
              <w:left w:w="100" w:type="dxa"/>
              <w:bottom w:w="100" w:type="dxa"/>
              <w:right w:w="100" w:type="dxa"/>
            </w:tcMar>
            <w:hideMark/>
          </w:tcPr>
          <w:p w14:paraId="5B0766E4"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01/01/2018–31/12/2025; bộ dự báo gồm 2.922 ngày lịch</w:t>
            </w:r>
          </w:p>
        </w:tc>
      </w:tr>
      <w:tr w:rsidR="00813DBC" w:rsidRPr="00813DBC" w14:paraId="4C32BD20" w14:textId="77777777" w:rsidTr="00A53B74">
        <w:trPr>
          <w:trHeight w:val="500"/>
        </w:trPr>
        <w:tc>
          <w:tcPr>
            <w:tcW w:w="2203" w:type="dxa"/>
            <w:shd w:val="clear" w:color="auto" w:fill="FFFFFF"/>
            <w:tcMar>
              <w:top w:w="100" w:type="dxa"/>
              <w:left w:w="100" w:type="dxa"/>
              <w:bottom w:w="100" w:type="dxa"/>
              <w:right w:w="100" w:type="dxa"/>
            </w:tcMar>
            <w:hideMark/>
          </w:tcPr>
          <w:p w14:paraId="007F89D2"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Tần suất chính</w:t>
            </w:r>
          </w:p>
        </w:tc>
        <w:tc>
          <w:tcPr>
            <w:tcW w:w="6822" w:type="dxa"/>
            <w:shd w:val="clear" w:color="auto" w:fill="FFFFFF"/>
            <w:tcMar>
              <w:top w:w="100" w:type="dxa"/>
              <w:left w:w="100" w:type="dxa"/>
              <w:bottom w:w="100" w:type="dxa"/>
              <w:right w:w="100" w:type="dxa"/>
            </w:tcMar>
            <w:hideMark/>
          </w:tcPr>
          <w:p w14:paraId="37D6F2F0"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Ngày lịch đối với crypto; dữ liệu vĩ mô có ngày không quan sát do lịch giao dịch</w:t>
            </w:r>
          </w:p>
        </w:tc>
      </w:tr>
      <w:tr w:rsidR="00813DBC" w:rsidRPr="00813DBC" w14:paraId="347B69B0" w14:textId="77777777" w:rsidTr="00A53B74">
        <w:trPr>
          <w:trHeight w:val="500"/>
        </w:trPr>
        <w:tc>
          <w:tcPr>
            <w:tcW w:w="2203" w:type="dxa"/>
            <w:shd w:val="clear" w:color="auto" w:fill="FFFFFF"/>
            <w:tcMar>
              <w:top w:w="100" w:type="dxa"/>
              <w:left w:w="100" w:type="dxa"/>
              <w:bottom w:w="100" w:type="dxa"/>
              <w:right w:w="100" w:type="dxa"/>
            </w:tcMar>
            <w:hideMark/>
          </w:tcPr>
          <w:p w14:paraId="518E550F"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Event study FOMC</w:t>
            </w:r>
          </w:p>
        </w:tc>
        <w:tc>
          <w:tcPr>
            <w:tcW w:w="6822" w:type="dxa"/>
            <w:shd w:val="clear" w:color="auto" w:fill="FFFFFF"/>
            <w:tcMar>
              <w:top w:w="100" w:type="dxa"/>
              <w:left w:w="100" w:type="dxa"/>
              <w:bottom w:w="100" w:type="dxa"/>
              <w:right w:w="100" w:type="dxa"/>
            </w:tcMar>
            <w:hideMark/>
          </w:tcPr>
          <w:p w14:paraId="5C61F185"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Không triển khai do không có chuỗi MPS đầy đủ trong mẫu thực nghiệm</w:t>
            </w:r>
          </w:p>
        </w:tc>
      </w:tr>
      <w:tr w:rsidR="00813DBC" w:rsidRPr="00813DBC" w14:paraId="4EC2FD04" w14:textId="77777777" w:rsidTr="00A53B74">
        <w:trPr>
          <w:trHeight w:val="500"/>
        </w:trPr>
        <w:tc>
          <w:tcPr>
            <w:tcW w:w="2203" w:type="dxa"/>
            <w:shd w:val="clear" w:color="auto" w:fill="FFFFFF"/>
            <w:tcMar>
              <w:top w:w="100" w:type="dxa"/>
              <w:left w:w="100" w:type="dxa"/>
              <w:bottom w:w="100" w:type="dxa"/>
              <w:right w:w="100" w:type="dxa"/>
            </w:tcMar>
            <w:hideMark/>
          </w:tcPr>
          <w:p w14:paraId="7D924DC4"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Nguồn US2Y</w:t>
            </w:r>
          </w:p>
        </w:tc>
        <w:tc>
          <w:tcPr>
            <w:tcW w:w="6822" w:type="dxa"/>
            <w:shd w:val="clear" w:color="auto" w:fill="FFFFFF"/>
            <w:tcMar>
              <w:top w:w="100" w:type="dxa"/>
              <w:left w:w="100" w:type="dxa"/>
              <w:bottom w:w="100" w:type="dxa"/>
              <w:right w:w="100" w:type="dxa"/>
            </w:tcMar>
            <w:hideMark/>
          </w:tcPr>
          <w:p w14:paraId="70BE4752"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FRED: DGS2</w:t>
            </w:r>
          </w:p>
        </w:tc>
      </w:tr>
      <w:tr w:rsidR="00813DBC" w:rsidRPr="00813DBC" w14:paraId="4C9F3D91" w14:textId="77777777" w:rsidTr="00A53B74">
        <w:trPr>
          <w:trHeight w:val="500"/>
        </w:trPr>
        <w:tc>
          <w:tcPr>
            <w:tcW w:w="2203" w:type="dxa"/>
            <w:shd w:val="clear" w:color="auto" w:fill="FFFFFF"/>
            <w:tcMar>
              <w:top w:w="100" w:type="dxa"/>
              <w:left w:w="100" w:type="dxa"/>
              <w:bottom w:w="100" w:type="dxa"/>
              <w:right w:w="100" w:type="dxa"/>
            </w:tcMar>
            <w:hideMark/>
          </w:tcPr>
          <w:p w14:paraId="29714F68"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lastRenderedPageBreak/>
              <w:t>Nguồn DXY và VIX</w:t>
            </w:r>
          </w:p>
        </w:tc>
        <w:tc>
          <w:tcPr>
            <w:tcW w:w="6822" w:type="dxa"/>
            <w:shd w:val="clear" w:color="auto" w:fill="FFFFFF"/>
            <w:tcMar>
              <w:top w:w="100" w:type="dxa"/>
              <w:left w:w="100" w:type="dxa"/>
              <w:bottom w:w="100" w:type="dxa"/>
              <w:right w:w="100" w:type="dxa"/>
            </w:tcMar>
            <w:hideMark/>
          </w:tcPr>
          <w:p w14:paraId="7B001129"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Yahoo Finance: DX-Y.NYB và ^VIX</w:t>
            </w:r>
          </w:p>
        </w:tc>
      </w:tr>
      <w:tr w:rsidR="00813DBC" w:rsidRPr="00813DBC" w14:paraId="0AA0F06D" w14:textId="77777777" w:rsidTr="00A53B74">
        <w:trPr>
          <w:trHeight w:val="500"/>
        </w:trPr>
        <w:tc>
          <w:tcPr>
            <w:tcW w:w="2203" w:type="dxa"/>
            <w:shd w:val="clear" w:color="auto" w:fill="FFFFFF"/>
            <w:tcMar>
              <w:top w:w="100" w:type="dxa"/>
              <w:left w:w="100" w:type="dxa"/>
              <w:bottom w:w="100" w:type="dxa"/>
              <w:right w:w="100" w:type="dxa"/>
            </w:tcMar>
            <w:hideMark/>
          </w:tcPr>
          <w:p w14:paraId="1409BE44"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Công cụ/mô hình</w:t>
            </w:r>
          </w:p>
        </w:tc>
        <w:tc>
          <w:tcPr>
            <w:tcW w:w="6822" w:type="dxa"/>
            <w:shd w:val="clear" w:color="auto" w:fill="FFFFFF"/>
            <w:tcMar>
              <w:top w:w="100" w:type="dxa"/>
              <w:left w:w="100" w:type="dxa"/>
              <w:bottom w:w="100" w:type="dxa"/>
              <w:right w:w="100" w:type="dxa"/>
            </w:tcMar>
            <w:hideMark/>
          </w:tcPr>
          <w:p w14:paraId="54D50155"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Kết quả báo cáo gồm VAR, IRF, Granger, LP-HAC, kiểm định tương tác và học máy Elastic Net/XGBoost</w:t>
            </w:r>
          </w:p>
        </w:tc>
      </w:tr>
      <w:tr w:rsidR="00813DBC" w:rsidRPr="00813DBC" w14:paraId="3943F546" w14:textId="77777777" w:rsidTr="00A53B74">
        <w:trPr>
          <w:trHeight w:val="785"/>
        </w:trPr>
        <w:tc>
          <w:tcPr>
            <w:tcW w:w="2203" w:type="dxa"/>
            <w:shd w:val="clear" w:color="auto" w:fill="FFFFFF"/>
            <w:tcMar>
              <w:top w:w="100" w:type="dxa"/>
              <w:left w:w="100" w:type="dxa"/>
              <w:bottom w:w="100" w:type="dxa"/>
              <w:right w:w="100" w:type="dxa"/>
            </w:tcMar>
            <w:hideMark/>
          </w:tcPr>
          <w:p w14:paraId="5B343134"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Phân chia giai đoạn/trạng thái</w:t>
            </w:r>
          </w:p>
        </w:tc>
        <w:tc>
          <w:tcPr>
            <w:tcW w:w="6822" w:type="dxa"/>
            <w:shd w:val="clear" w:color="auto" w:fill="FFFFFF"/>
            <w:tcMar>
              <w:top w:w="100" w:type="dxa"/>
              <w:left w:w="100" w:type="dxa"/>
              <w:bottom w:w="100" w:type="dxa"/>
              <w:right w:w="100" w:type="dxa"/>
            </w:tcMar>
            <w:hideMark/>
          </w:tcPr>
          <w:p w14:paraId="7C508D26" w14:textId="77777777" w:rsidR="00813DBC" w:rsidRPr="00813DBC" w:rsidRDefault="00813DBC" w:rsidP="00813DBC">
            <w:pPr>
              <w:spacing w:before="240" w:after="240"/>
              <w:rPr>
                <w:rFonts w:ascii="Times New Roman" w:eastAsia="Times New Roman" w:hAnsi="Times New Roman" w:cs="Times New Roman"/>
                <w:sz w:val="24"/>
                <w:szCs w:val="24"/>
                <w:lang w:val="en-US"/>
              </w:rPr>
            </w:pPr>
            <w:r w:rsidRPr="00813DBC">
              <w:rPr>
                <w:rFonts w:ascii="Times New Roman" w:eastAsia="Times New Roman" w:hAnsi="Times New Roman" w:cs="Times New Roman"/>
                <w:sz w:val="24"/>
                <w:szCs w:val="24"/>
                <w:lang w:val="en-US"/>
              </w:rPr>
              <w:t>2018–2019 so với 2020–2025; Stress cơ sở khi VIX phiên trước ≥ 30; kiểm tra ngưỡng 25 và 35</w:t>
            </w:r>
          </w:p>
        </w:tc>
      </w:tr>
    </w:tbl>
    <w:p w14:paraId="553090C6" w14:textId="75289847" w:rsidR="00801403" w:rsidRDefault="00000000">
      <w:pPr>
        <w:pStyle w:val="Heading2"/>
        <w:keepNext w:val="0"/>
        <w:keepLines w:val="0"/>
        <w:spacing w:after="80"/>
        <w:rPr>
          <w:rFonts w:ascii="Times New Roman" w:eastAsia="Times New Roman" w:hAnsi="Times New Roman" w:cs="Times New Roman"/>
          <w:b/>
          <w:bCs/>
          <w:sz w:val="24"/>
          <w:szCs w:val="24"/>
        </w:rPr>
      </w:pPr>
      <w:bookmarkStart w:id="1" w:name="_91vujlucww8m" w:colFirst="0" w:colLast="0"/>
      <w:bookmarkEnd w:id="1"/>
      <w:r>
        <w:rPr>
          <w:rFonts w:ascii="Times New Roman" w:eastAsia="Times New Roman" w:hAnsi="Times New Roman" w:cs="Times New Roman"/>
          <w:b/>
          <w:bCs/>
          <w:sz w:val="24"/>
          <w:szCs w:val="24"/>
        </w:rPr>
        <w:t>4.2. Liên kết câu hỏi nghiên cứu với phương pháp</w:t>
      </w:r>
    </w:p>
    <w:tbl>
      <w:tblPr>
        <w:tblW w:w="9025"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014"/>
        <w:gridCol w:w="3157"/>
        <w:gridCol w:w="2854"/>
      </w:tblGrid>
      <w:tr w:rsidR="00813DBC" w:rsidRPr="00813DBC" w14:paraId="14DD10B2" w14:textId="77777777" w:rsidTr="00813DBC">
        <w:trPr>
          <w:trHeight w:val="500"/>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59F54CAA" w14:textId="77777777" w:rsidR="00813DBC" w:rsidRPr="00813DBC" w:rsidRDefault="00813DBC" w:rsidP="00813DBC">
            <w:pPr>
              <w:spacing w:before="240" w:after="240"/>
              <w:rPr>
                <w:rFonts w:asciiTheme="minorHAnsi" w:eastAsia="Cardo" w:hAnsiTheme="minorHAnsi" w:cs="Cardo"/>
                <w:b/>
                <w:bCs/>
                <w:sz w:val="24"/>
                <w:szCs w:val="24"/>
                <w:lang w:val="en-US"/>
              </w:rPr>
            </w:pPr>
            <w:r w:rsidRPr="00813DBC">
              <w:rPr>
                <w:rFonts w:asciiTheme="minorHAnsi" w:eastAsia="Cardo" w:hAnsiTheme="minorHAnsi" w:cs="Cardo"/>
                <w:b/>
                <w:bCs/>
                <w:sz w:val="24"/>
                <w:szCs w:val="24"/>
                <w:lang w:val="en-US"/>
              </w:rPr>
              <w:t>Câu hỏi</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328AF54B" w14:textId="77777777" w:rsidR="00813DBC" w:rsidRPr="00813DBC" w:rsidRDefault="00813DBC" w:rsidP="00813DBC">
            <w:pPr>
              <w:spacing w:before="240" w:after="240"/>
              <w:rPr>
                <w:rFonts w:asciiTheme="minorHAnsi" w:eastAsia="Cardo" w:hAnsiTheme="minorHAnsi" w:cs="Cardo"/>
                <w:b/>
                <w:bCs/>
                <w:sz w:val="24"/>
                <w:szCs w:val="24"/>
                <w:lang w:val="en-US"/>
              </w:rPr>
            </w:pPr>
            <w:r w:rsidRPr="00813DBC">
              <w:rPr>
                <w:rFonts w:asciiTheme="minorHAnsi" w:eastAsia="Cardo" w:hAnsiTheme="minorHAnsi" w:cs="Cardo"/>
                <w:b/>
                <w:bCs/>
                <w:sz w:val="24"/>
                <w:szCs w:val="24"/>
                <w:lang w:val="en-US"/>
              </w:rPr>
              <w:t>Phương pháp đã triển khai</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17F1086E" w14:textId="77777777" w:rsidR="00813DBC" w:rsidRPr="00813DBC" w:rsidRDefault="00813DBC" w:rsidP="00813DBC">
            <w:pPr>
              <w:spacing w:before="240" w:after="240"/>
              <w:rPr>
                <w:rFonts w:asciiTheme="minorHAnsi" w:eastAsia="Cardo" w:hAnsiTheme="minorHAnsi" w:cs="Cardo"/>
                <w:b/>
                <w:bCs/>
                <w:sz w:val="24"/>
                <w:szCs w:val="24"/>
                <w:lang w:val="en-US"/>
              </w:rPr>
            </w:pPr>
            <w:r w:rsidRPr="00813DBC">
              <w:rPr>
                <w:rFonts w:asciiTheme="minorHAnsi" w:eastAsia="Cardo" w:hAnsiTheme="minorHAnsi" w:cs="Cardo"/>
                <w:b/>
                <w:bCs/>
                <w:sz w:val="24"/>
                <w:szCs w:val="24"/>
                <w:lang w:val="en-US"/>
              </w:rPr>
              <w:t>Đầu ra/kết quả cần diễn giải</w:t>
            </w:r>
          </w:p>
        </w:tc>
      </w:tr>
      <w:tr w:rsidR="00813DBC" w:rsidRPr="00813DBC" w14:paraId="6EB9A9CB" w14:textId="77777777" w:rsidTr="00813DBC">
        <w:trPr>
          <w:trHeight w:val="1055"/>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7FD640FF"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RQ1. Thay đổi US2Y có liên hệ với lợi suất BTC/ETH không?</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598869A7"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VAR/Granger, IRF Cholesky và Local Projections (HAC); US2Y là biến đại diện cho thay đổi điều kiện lãi suất</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6149FE9D" w14:textId="5764582A" w:rsidR="00813DBC" w:rsidRPr="00813DBC" w:rsidRDefault="00A53B74" w:rsidP="00813DBC">
            <w:pPr>
              <w:spacing w:before="240" w:after="240"/>
              <w:rPr>
                <w:rFonts w:asciiTheme="minorHAnsi" w:eastAsia="Cardo" w:hAnsiTheme="minorHAnsi" w:cs="Cardo"/>
                <w:sz w:val="24"/>
                <w:szCs w:val="24"/>
                <w:lang w:val="en-US"/>
              </w:rPr>
            </w:pPr>
            <w:r w:rsidRPr="00A53B74">
              <w:rPr>
                <w:rFonts w:asciiTheme="minorHAnsi" w:eastAsia="Cardo" w:hAnsiTheme="minorHAnsi" w:cs="Cardo"/>
                <w:sz w:val="24"/>
                <w:szCs w:val="24"/>
              </w:rPr>
              <w:t>Dấu, độ lớn hệ số, khoảng tin cậy và giá trị p của mối liên hệ giữa thay đổi US2Y và lợi suất BTC/ETH; không diễn giải thành tác động nhân quả của cú sốc Fed.</w:t>
            </w:r>
          </w:p>
        </w:tc>
      </w:tr>
      <w:tr w:rsidR="00813DBC" w:rsidRPr="00813DBC" w14:paraId="74D0E4DA" w14:textId="77777777" w:rsidTr="00813DBC">
        <w:trPr>
          <w:trHeight w:val="1055"/>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63B3CC00"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RQ2. DXY và VIX liên hệ với lợi suất crypto trong những chân trời nào?</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03A61490"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VAR, kiểm định độ trễ/Granger, IRF Cholesky và LP-HAC từ h=0 đến 30 ngày lịch</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156F95C2"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Dấu, độ lớn và độ bất định của hệ số/IRF; các hệ số LP theo chân trời không phải tác động tích lũy</w:t>
            </w:r>
          </w:p>
        </w:tc>
      </w:tr>
      <w:tr w:rsidR="00813DBC" w:rsidRPr="00813DBC" w14:paraId="67424D59" w14:textId="77777777" w:rsidTr="00813DBC">
        <w:trPr>
          <w:trHeight w:val="1055"/>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0CE873F0"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RQ3. Các hệ số có khác giữa 2018–2019 và 2020–2025 không?</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4CB471AA"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Hồi quy tách mẫu, LP có tương tác Post2020, hệ số rolling 252 phiên và hiệu chỉnh Benjamini–Hochberg</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4179586E" w14:textId="64B14E09" w:rsidR="00813DBC" w:rsidRPr="00813DBC" w:rsidRDefault="00621EE5" w:rsidP="00813DBC">
            <w:pPr>
              <w:spacing w:before="240" w:after="240"/>
              <w:rPr>
                <w:rFonts w:asciiTheme="minorHAnsi" w:eastAsia="Cardo" w:hAnsiTheme="minorHAnsi" w:cs="Cardo"/>
                <w:sz w:val="24"/>
                <w:szCs w:val="24"/>
                <w:lang w:val="en-US"/>
              </w:rPr>
            </w:pPr>
            <w:r w:rsidRPr="00621EE5">
              <w:rPr>
                <w:rFonts w:asciiTheme="minorHAnsi" w:eastAsia="Cardo" w:hAnsiTheme="minorHAnsi" w:cs="Cardo"/>
                <w:sz w:val="24"/>
                <w:szCs w:val="24"/>
              </w:rPr>
              <w:t xml:space="preserve">Kiểm định trực tiếp chênh lệch hệ số giữa hai giai đoạn; báo cáo hệ số ước lượng, khoảng tin cậy, p-value gốc và q-value sau hiệu chỉnh </w:t>
            </w:r>
            <w:r w:rsidRPr="00621EE5">
              <w:rPr>
                <w:rFonts w:asciiTheme="minorHAnsi" w:eastAsia="Cardo" w:hAnsiTheme="minorHAnsi" w:cs="Cardo"/>
                <w:sz w:val="24"/>
                <w:szCs w:val="24"/>
              </w:rPr>
              <w:lastRenderedPageBreak/>
              <w:t>Benjamini–Hochberg. Phân biệt kết quả hồi quy tách mẫu, hồi quy tương tác và phân tích rolling nếu sử dụng nhiều đặc tả.</w:t>
            </w:r>
          </w:p>
        </w:tc>
      </w:tr>
      <w:tr w:rsidR="00813DBC" w:rsidRPr="00813DBC" w14:paraId="4B2121B8" w14:textId="77777777" w:rsidTr="00813DBC">
        <w:trPr>
          <w:trHeight w:val="1055"/>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759E43EB"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lastRenderedPageBreak/>
              <w:t>RQ4. Các hệ số có khác giữa Calm và Stress không?</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53A0807C"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LP có tương tác trạng thái; Stress cơ sở dùng VIX phiên vĩ mô trước ≥30; kiểm tra độ nhạy ngưỡng 25 và 35</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4F6E0776"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Chênh lệch hệ số, khoảng tin cậy và kết quả sau hiệu chỉnh FDR</w:t>
            </w:r>
          </w:p>
        </w:tc>
      </w:tr>
      <w:tr w:rsidR="00813DBC" w:rsidRPr="00813DBC" w14:paraId="65E08A78" w14:textId="77777777" w:rsidTr="00813DBC">
        <w:trPr>
          <w:trHeight w:val="1055"/>
        </w:trPr>
        <w:tc>
          <w:tcPr>
            <w:tcW w:w="3013"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5117603E"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RQ5. Biến vĩ mô có cải thiện dự báo độ lớn lợi suất ngày kế tiếp không?</w:t>
            </w:r>
          </w:p>
        </w:tc>
        <w:tc>
          <w:tcPr>
            <w:tcW w:w="3157"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08D4008B"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Benchmark trung bình lịch sử 30 ngày; Elastic Net và XGBoost; so sánh Crypto-only (40 đặc trưng) với Crypto + Macro (52 đặc trưng)</w:t>
            </w:r>
          </w:p>
        </w:tc>
        <w:tc>
          <w:tcPr>
            <w:tcW w:w="2854" w:type="dxa"/>
            <w:tcBorders>
              <w:top w:val="single" w:sz="4" w:space="0" w:color="auto"/>
              <w:left w:val="single" w:sz="4" w:space="0" w:color="auto"/>
              <w:bottom w:val="single" w:sz="4" w:space="0" w:color="auto"/>
              <w:right w:val="single" w:sz="4" w:space="0" w:color="auto"/>
            </w:tcBorders>
            <w:shd w:val="clear" w:color="auto" w:fill="FFFFFF"/>
            <w:tcMar>
              <w:top w:w="100" w:type="dxa"/>
              <w:left w:w="100" w:type="dxa"/>
              <w:bottom w:w="100" w:type="dxa"/>
              <w:right w:w="100" w:type="dxa"/>
            </w:tcMar>
            <w:hideMark/>
          </w:tcPr>
          <w:p w14:paraId="48259C0D" w14:textId="77777777" w:rsidR="00813DBC" w:rsidRPr="00813DBC" w:rsidRDefault="00813DBC" w:rsidP="00813DBC">
            <w:pPr>
              <w:spacing w:before="240" w:after="240"/>
              <w:rPr>
                <w:rFonts w:asciiTheme="minorHAnsi" w:eastAsia="Cardo" w:hAnsiTheme="minorHAnsi" w:cs="Cardo"/>
                <w:sz w:val="24"/>
                <w:szCs w:val="24"/>
                <w:lang w:val="en-US"/>
              </w:rPr>
            </w:pPr>
            <w:r w:rsidRPr="00813DBC">
              <w:rPr>
                <w:rFonts w:asciiTheme="minorHAnsi" w:eastAsia="Cardo" w:hAnsiTheme="minorHAnsi" w:cs="Cardo"/>
                <w:sz w:val="24"/>
                <w:szCs w:val="24"/>
                <w:lang w:val="en-US"/>
              </w:rPr>
              <w:t>MAE, RMSE và bootstrap theo khối thời gian cho chênh lệch MAE trên tập kiểm tra năm 2025</w:t>
            </w:r>
          </w:p>
        </w:tc>
      </w:tr>
    </w:tbl>
    <w:p w14:paraId="72F27F5C" w14:textId="77777777" w:rsidR="00813DBC" w:rsidRDefault="00813DBC">
      <w:pPr>
        <w:spacing w:before="240" w:after="240"/>
        <w:rPr>
          <w:rFonts w:asciiTheme="minorHAnsi" w:eastAsia="Cardo" w:hAnsiTheme="minorHAnsi" w:cs="Cardo"/>
          <w:b/>
          <w:bCs/>
          <w:sz w:val="24"/>
          <w:szCs w:val="24"/>
          <w:lang w:val="en-US"/>
        </w:rPr>
      </w:pPr>
    </w:p>
    <w:p w14:paraId="27D61B77" w14:textId="45C385EB" w:rsidR="0080140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TÀI LIỆU THAM KHẢO</w:t>
      </w:r>
      <w:r>
        <w:rPr>
          <w:rFonts w:ascii="Times New Roman" w:eastAsia="Times New Roman" w:hAnsi="Times New Roman" w:cs="Times New Roman"/>
          <w:b/>
          <w:bCs/>
          <w:sz w:val="24"/>
          <w:szCs w:val="24"/>
        </w:rPr>
        <w:br/>
        <w:t xml:space="preserve"> </w:t>
      </w:r>
      <w:r>
        <w:rPr>
          <w:rFonts w:ascii="Times New Roman" w:eastAsia="Times New Roman" w:hAnsi="Times New Roman" w:cs="Times New Roman"/>
          <w:sz w:val="24"/>
          <w:szCs w:val="24"/>
        </w:rPr>
        <w:t>1. Colombage, S., Jayawardhana, A., &amp; Oatley, T. (2025). Global Financial Stress and Its Transmission to Cryptocurrency Markets: A Cointegration and Causality Approach. Journal of Risk and Financial Management, 18(10), 532.</w:t>
      </w:r>
      <w:hyperlink r:id="rId5">
        <w:r w:rsidR="00801403">
          <w:rPr>
            <w:rFonts w:ascii="Times New Roman" w:eastAsia="Times New Roman" w:hAnsi="Times New Roman" w:cs="Times New Roman"/>
            <w:sz w:val="24"/>
            <w:szCs w:val="24"/>
          </w:rPr>
          <w:t xml:space="preserve"> </w:t>
        </w:r>
      </w:hyperlink>
      <w:hyperlink r:id="rId6">
        <w:r w:rsidR="00801403">
          <w:rPr>
            <w:rFonts w:ascii="Times New Roman" w:eastAsia="Times New Roman" w:hAnsi="Times New Roman" w:cs="Times New Roman"/>
            <w:color w:val="1155CC"/>
            <w:sz w:val="24"/>
            <w:szCs w:val="24"/>
            <w:u w:val="single"/>
          </w:rPr>
          <w:t>https://doi.org/10.3390/jrfm18100532</w:t>
        </w:r>
        <w:r w:rsidR="00801403">
          <w:rPr>
            <w:rFonts w:ascii="Times New Roman" w:eastAsia="Times New Roman" w:hAnsi="Times New Roman" w:cs="Times New Roman"/>
            <w:color w:val="1155CC"/>
            <w:sz w:val="24"/>
            <w:szCs w:val="24"/>
            <w:u w:val="single"/>
          </w:rPr>
          <w:br/>
        </w:r>
      </w:hyperlink>
      <w:r>
        <w:rPr>
          <w:rFonts w:ascii="Times New Roman" w:eastAsia="Times New Roman" w:hAnsi="Times New Roman" w:cs="Times New Roman"/>
          <w:sz w:val="24"/>
          <w:szCs w:val="24"/>
        </w:rPr>
        <w:t>2. Gaies, B., và cộng sự (2024). On the resilience of cryptocurrencies: A quantile-frequency analysis of bitcoin and ethereum reactions in times of inflation and financial instability. Research in International Business and Finance, 70(A), 102302.</w:t>
      </w:r>
      <w:hyperlink r:id="rId7">
        <w:r w:rsidR="00801403">
          <w:rPr>
            <w:rFonts w:ascii="Times New Roman" w:eastAsia="Times New Roman" w:hAnsi="Times New Roman" w:cs="Times New Roman"/>
            <w:sz w:val="24"/>
            <w:szCs w:val="24"/>
          </w:rPr>
          <w:t xml:space="preserve"> </w:t>
        </w:r>
      </w:hyperlink>
      <w:hyperlink r:id="rId8">
        <w:r w:rsidR="00801403">
          <w:rPr>
            <w:rFonts w:ascii="Times New Roman" w:eastAsia="Times New Roman" w:hAnsi="Times New Roman" w:cs="Times New Roman"/>
            <w:color w:val="1155CC"/>
            <w:sz w:val="24"/>
            <w:szCs w:val="24"/>
            <w:u w:val="single"/>
          </w:rPr>
          <w:t>https://doi.org/10.1016/j.ribaf.2024.102302</w:t>
        </w:r>
        <w:r w:rsidR="00801403">
          <w:rPr>
            <w:rFonts w:ascii="Times New Roman" w:eastAsia="Times New Roman" w:hAnsi="Times New Roman" w:cs="Times New Roman"/>
            <w:color w:val="1155CC"/>
            <w:sz w:val="24"/>
            <w:szCs w:val="24"/>
            <w:u w:val="single"/>
          </w:rPr>
          <w:br/>
        </w:r>
      </w:hyperlink>
      <w:r>
        <w:rPr>
          <w:rFonts w:ascii="Times New Roman" w:eastAsia="Times New Roman" w:hAnsi="Times New Roman" w:cs="Times New Roman"/>
          <w:sz w:val="24"/>
          <w:szCs w:val="24"/>
        </w:rPr>
        <w:t>3. Hsu, S., Cheng, C., &amp; Yang, J. (2024). Diversification, hedging, and safe-haven characteristics of cryptocurrencies: A structural change approach. International Review of Financial Analysis, 93, 103211.</w:t>
      </w:r>
      <w:hyperlink r:id="rId9">
        <w:r w:rsidR="00801403">
          <w:rPr>
            <w:rFonts w:ascii="Times New Roman" w:eastAsia="Times New Roman" w:hAnsi="Times New Roman" w:cs="Times New Roman"/>
            <w:sz w:val="24"/>
            <w:szCs w:val="24"/>
          </w:rPr>
          <w:t xml:space="preserve"> </w:t>
        </w:r>
      </w:hyperlink>
      <w:hyperlink r:id="rId10">
        <w:r w:rsidR="00801403">
          <w:rPr>
            <w:rFonts w:ascii="Times New Roman" w:eastAsia="Times New Roman" w:hAnsi="Times New Roman" w:cs="Times New Roman"/>
            <w:color w:val="1155CC"/>
            <w:sz w:val="24"/>
            <w:szCs w:val="24"/>
            <w:u w:val="single"/>
          </w:rPr>
          <w:t>https://doi.org/10.1016/j.irfa.2024.103211</w:t>
        </w:r>
        <w:r w:rsidR="00801403">
          <w:rPr>
            <w:rFonts w:ascii="Times New Roman" w:eastAsia="Times New Roman" w:hAnsi="Times New Roman" w:cs="Times New Roman"/>
            <w:color w:val="1155CC"/>
            <w:sz w:val="24"/>
            <w:szCs w:val="24"/>
            <w:u w:val="single"/>
          </w:rPr>
          <w:br/>
        </w:r>
      </w:hyperlink>
      <w:r>
        <w:rPr>
          <w:rFonts w:ascii="Times New Roman" w:eastAsia="Times New Roman" w:hAnsi="Times New Roman" w:cs="Times New Roman"/>
          <w:sz w:val="24"/>
          <w:szCs w:val="24"/>
        </w:rPr>
        <w:t>4. Karau, S. (2023). Monetary policy and Bitcoin. Journal of International Money and Finance, 137, 102880.</w:t>
      </w:r>
      <w:hyperlink r:id="rId11">
        <w:r w:rsidR="00801403">
          <w:rPr>
            <w:rFonts w:ascii="Times New Roman" w:eastAsia="Times New Roman" w:hAnsi="Times New Roman" w:cs="Times New Roman"/>
            <w:sz w:val="24"/>
            <w:szCs w:val="24"/>
          </w:rPr>
          <w:t xml:space="preserve"> </w:t>
        </w:r>
      </w:hyperlink>
      <w:hyperlink r:id="rId12">
        <w:r w:rsidR="00801403">
          <w:rPr>
            <w:rFonts w:ascii="Times New Roman" w:eastAsia="Times New Roman" w:hAnsi="Times New Roman" w:cs="Times New Roman"/>
            <w:color w:val="1155CC"/>
            <w:sz w:val="24"/>
            <w:szCs w:val="24"/>
            <w:u w:val="single"/>
          </w:rPr>
          <w:t>https://doi.org/10.1016/j.jimonfin.2023.102880</w:t>
        </w:r>
        <w:r w:rsidR="00801403">
          <w:rPr>
            <w:rFonts w:ascii="Times New Roman" w:eastAsia="Times New Roman" w:hAnsi="Times New Roman" w:cs="Times New Roman"/>
            <w:color w:val="1155CC"/>
            <w:sz w:val="24"/>
            <w:szCs w:val="24"/>
            <w:u w:val="single"/>
          </w:rPr>
          <w:br/>
        </w:r>
      </w:hyperlink>
      <w:r>
        <w:rPr>
          <w:rFonts w:ascii="Times New Roman" w:eastAsia="Times New Roman" w:hAnsi="Times New Roman" w:cs="Times New Roman"/>
          <w:sz w:val="24"/>
          <w:szCs w:val="24"/>
        </w:rPr>
        <w:t>5. Kyriazis, N., và cộng sự (2023). Monetary Policy, Digital Assets, and DeFi Activity</w:t>
      </w:r>
      <w:r w:rsidR="00A53B74">
        <w:rPr>
          <w:rFonts w:ascii="Times New Roman" w:eastAsia="Times New Roman" w:hAnsi="Times New Roman" w:cs="Times New Roman"/>
          <w:sz w:val="24"/>
          <w:szCs w:val="24"/>
          <w:lang w:val="en-US"/>
        </w:rPr>
        <w:t>.</w:t>
      </w:r>
      <w:r w:rsidR="004A6671">
        <w:rPr>
          <w:rFonts w:ascii="Times New Roman" w:eastAsia="Times New Roman" w:hAnsi="Times New Roman" w:cs="Times New Roman"/>
          <w:sz w:val="24"/>
          <w:szCs w:val="24"/>
          <w:lang w:val="en-US"/>
        </w:rPr>
        <w:t xml:space="preserve"> </w:t>
      </w:r>
      <w:hyperlink r:id="rId13" w:history="1">
        <w:r w:rsidR="004A6671" w:rsidRPr="008C7BFB">
          <w:rPr>
            <w:rStyle w:val="Hyperlink"/>
            <w:rFonts w:ascii="Times New Roman" w:eastAsia="Times New Roman" w:hAnsi="Times New Roman" w:cs="Times New Roman"/>
            <w:sz w:val="24"/>
            <w:szCs w:val="24"/>
          </w:rPr>
          <w:t>https://arxiv.org/pdf/2302.10252</w:t>
        </w:r>
        <w:r w:rsidR="004A6671" w:rsidRPr="008C7BFB">
          <w:rPr>
            <w:rStyle w:val="Hyperlink"/>
            <w:rFonts w:ascii="Times New Roman" w:eastAsia="Times New Roman" w:hAnsi="Times New Roman" w:cs="Times New Roman"/>
            <w:sz w:val="24"/>
            <w:szCs w:val="24"/>
          </w:rPr>
          <w:br/>
        </w:r>
      </w:hyperlink>
      <w:r>
        <w:rPr>
          <w:rFonts w:ascii="Times New Roman" w:eastAsia="Times New Roman" w:hAnsi="Times New Roman" w:cs="Times New Roman"/>
          <w:sz w:val="24"/>
          <w:szCs w:val="24"/>
        </w:rPr>
        <w:t>6. Lawuobahsumo, C., Algieri, B., &amp; Leccadito, A. (2024). Forecasting cryptocurrencies returns: Do macroeconomic and financial variables improve tail expectation predictions? Quality &amp; Quantity, 58, 2647–2675.</w:t>
      </w:r>
      <w:hyperlink r:id="rId14">
        <w:r w:rsidR="00801403">
          <w:rPr>
            <w:rFonts w:ascii="Times New Roman" w:eastAsia="Times New Roman" w:hAnsi="Times New Roman" w:cs="Times New Roman"/>
            <w:sz w:val="24"/>
            <w:szCs w:val="24"/>
          </w:rPr>
          <w:t xml:space="preserve"> </w:t>
        </w:r>
      </w:hyperlink>
      <w:hyperlink r:id="rId15">
        <w:r w:rsidR="00801403">
          <w:rPr>
            <w:rFonts w:ascii="Times New Roman" w:eastAsia="Times New Roman" w:hAnsi="Times New Roman" w:cs="Times New Roman"/>
            <w:color w:val="1155CC"/>
            <w:sz w:val="24"/>
            <w:szCs w:val="24"/>
            <w:u w:val="single"/>
          </w:rPr>
          <w:t>https://doi.org/10.1007/s11135-023-01761-1</w:t>
        </w:r>
        <w:r w:rsidR="00801403">
          <w:rPr>
            <w:rFonts w:ascii="Times New Roman" w:eastAsia="Times New Roman" w:hAnsi="Times New Roman" w:cs="Times New Roman"/>
            <w:color w:val="1155CC"/>
            <w:sz w:val="24"/>
            <w:szCs w:val="24"/>
            <w:u w:val="single"/>
          </w:rPr>
          <w:br/>
        </w:r>
      </w:hyperlink>
      <w:r>
        <w:rPr>
          <w:rFonts w:ascii="Times New Roman" w:eastAsia="Times New Roman" w:hAnsi="Times New Roman" w:cs="Times New Roman"/>
          <w:sz w:val="24"/>
          <w:szCs w:val="24"/>
        </w:rPr>
        <w:t xml:space="preserve">7. Yae, J., &amp; Tian, Y. (2022). Out-of-sample forecasting of cryptocurrency returns: A comprehensive comparison of predictors and algorithms. Physica A: Statistical Mechanics </w:t>
      </w:r>
      <w:r>
        <w:rPr>
          <w:rFonts w:ascii="Times New Roman" w:eastAsia="Times New Roman" w:hAnsi="Times New Roman" w:cs="Times New Roman"/>
          <w:sz w:val="24"/>
          <w:szCs w:val="24"/>
        </w:rPr>
        <w:lastRenderedPageBreak/>
        <w:t>and its Applications, 598, 127379.</w:t>
      </w:r>
      <w:hyperlink r:id="rId16">
        <w:r w:rsidR="00801403">
          <w:rPr>
            <w:rFonts w:ascii="Times New Roman" w:eastAsia="Times New Roman" w:hAnsi="Times New Roman" w:cs="Times New Roman"/>
            <w:sz w:val="24"/>
            <w:szCs w:val="24"/>
          </w:rPr>
          <w:t xml:space="preserve"> </w:t>
        </w:r>
      </w:hyperlink>
      <w:hyperlink r:id="rId17">
        <w:r w:rsidR="00801403">
          <w:rPr>
            <w:rFonts w:ascii="Times New Roman" w:eastAsia="Times New Roman" w:hAnsi="Times New Roman" w:cs="Times New Roman"/>
            <w:color w:val="1155CC"/>
            <w:sz w:val="24"/>
            <w:szCs w:val="24"/>
            <w:u w:val="single"/>
          </w:rPr>
          <w:t>https://doi.org/10.1016/j.physa.2022.127379</w:t>
        </w:r>
        <w:r w:rsidR="00801403">
          <w:rPr>
            <w:rFonts w:ascii="Times New Roman" w:eastAsia="Times New Roman" w:hAnsi="Times New Roman" w:cs="Times New Roman"/>
            <w:color w:val="1155CC"/>
            <w:sz w:val="24"/>
            <w:szCs w:val="24"/>
            <w:u w:val="single"/>
          </w:rPr>
          <w:br/>
        </w:r>
      </w:hyperlink>
    </w:p>
    <w:p w14:paraId="5BE87ED1" w14:textId="77777777" w:rsidR="00801403" w:rsidRDefault="00801403">
      <w:pPr>
        <w:rPr>
          <w:rFonts w:ascii="Times New Roman" w:eastAsia="Times New Roman" w:hAnsi="Times New Roman" w:cs="Times New Roman"/>
          <w:sz w:val="24"/>
          <w:szCs w:val="24"/>
        </w:rPr>
      </w:pPr>
    </w:p>
    <w:sectPr w:rsidR="0080140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E55993D5-65C2-4729-92EE-BCD55DDA8504}"/>
    <w:embedItalic r:id="rId2" w:fontKey="{941ADB9C-65C9-40EE-B6B7-42DFD1269C43}"/>
  </w:font>
  <w:font w:name="Cambria">
    <w:panose1 w:val="02040503050406030204"/>
    <w:charset w:val="00"/>
    <w:family w:val="roman"/>
    <w:pitch w:val="variable"/>
    <w:sig w:usb0="E00006FF" w:usb1="420024FF" w:usb2="02000000" w:usb3="00000000" w:csb0="0000019F" w:csb1="00000000"/>
    <w:embedRegular r:id="rId3" w:fontKey="{AD04DA0F-F0FE-4382-B13D-26F0CC578F1A}"/>
    <w:embedBold r:id="rId4" w:fontKey="{1967DC13-B973-40AB-997A-48A0CBAD39B1}"/>
  </w:font>
  <w:font w:name="Cardo">
    <w:altName w:val="Calibri"/>
    <w:charset w:val="00"/>
    <w:family w:val="auto"/>
    <w:pitch w:val="default"/>
    <w:embedRegular r:id="rId5" w:fontKey="{EBCAA481-3775-4FA9-BBE5-05D825D31E33}"/>
    <w:embedBold r:id="rId6" w:fontKey="{3571119A-CF6C-4E75-A6C1-54E1F9A3C0C5}"/>
  </w:font>
  <w:font w:name="Calibri">
    <w:panose1 w:val="020F0502020204030204"/>
    <w:charset w:val="00"/>
    <w:family w:val="swiss"/>
    <w:pitch w:val="variable"/>
    <w:sig w:usb0="E4002EFF" w:usb1="C200247B" w:usb2="00000009" w:usb3="00000000" w:csb0="000001FF" w:csb1="00000000"/>
    <w:embedRegular r:id="rId7" w:fontKey="{3C3E93A1-3F68-492C-BBC3-93C90EBA85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60A9"/>
    <w:multiLevelType w:val="multilevel"/>
    <w:tmpl w:val="F3EEA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F24A7A"/>
    <w:multiLevelType w:val="multilevel"/>
    <w:tmpl w:val="DCA67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3987AAC"/>
    <w:multiLevelType w:val="multilevel"/>
    <w:tmpl w:val="B9522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C61486"/>
    <w:multiLevelType w:val="multilevel"/>
    <w:tmpl w:val="0380B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7097A1A"/>
    <w:multiLevelType w:val="multilevel"/>
    <w:tmpl w:val="FFA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6263791">
    <w:abstractNumId w:val="2"/>
  </w:num>
  <w:num w:numId="2" w16cid:durableId="465970062">
    <w:abstractNumId w:val="0"/>
  </w:num>
  <w:num w:numId="3" w16cid:durableId="1527601862">
    <w:abstractNumId w:val="1"/>
  </w:num>
  <w:num w:numId="4" w16cid:durableId="222252204">
    <w:abstractNumId w:val="3"/>
  </w:num>
  <w:num w:numId="5" w16cid:durableId="5651475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403"/>
    <w:rsid w:val="001074D6"/>
    <w:rsid w:val="00186D4F"/>
    <w:rsid w:val="00192184"/>
    <w:rsid w:val="003F2CD1"/>
    <w:rsid w:val="004A6671"/>
    <w:rsid w:val="00621EE5"/>
    <w:rsid w:val="006C606B"/>
    <w:rsid w:val="006F54AF"/>
    <w:rsid w:val="00733DA1"/>
    <w:rsid w:val="007404FF"/>
    <w:rsid w:val="00801403"/>
    <w:rsid w:val="00813DBC"/>
    <w:rsid w:val="008E6506"/>
    <w:rsid w:val="00931F74"/>
    <w:rsid w:val="009379EF"/>
    <w:rsid w:val="009E0CCF"/>
    <w:rsid w:val="00A53B74"/>
    <w:rsid w:val="00B35DC4"/>
    <w:rsid w:val="00BD4DA3"/>
    <w:rsid w:val="00CF54CC"/>
    <w:rsid w:val="00D17E9E"/>
    <w:rsid w:val="00F14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4C2E6"/>
  <w15:docId w15:val="{C4CA587A-87F5-4D2B-BC06-2F02AD8CA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character" w:styleId="Hyperlink">
    <w:name w:val="Hyperlink"/>
    <w:basedOn w:val="DefaultParagraphFont"/>
    <w:uiPriority w:val="99"/>
    <w:unhideWhenUsed/>
    <w:rsid w:val="004A6671"/>
    <w:rPr>
      <w:color w:val="0000FF" w:themeColor="hyperlink"/>
      <w:u w:val="single"/>
    </w:rPr>
  </w:style>
  <w:style w:type="character" w:styleId="UnresolvedMention">
    <w:name w:val="Unresolved Mention"/>
    <w:basedOn w:val="DefaultParagraphFont"/>
    <w:uiPriority w:val="99"/>
    <w:semiHidden/>
    <w:unhideWhenUsed/>
    <w:rsid w:val="004A6671"/>
    <w:rPr>
      <w:color w:val="605E5C"/>
      <w:shd w:val="clear" w:color="auto" w:fill="E1DFDD"/>
    </w:rPr>
  </w:style>
  <w:style w:type="paragraph" w:styleId="NormalWeb">
    <w:name w:val="Normal (Web)"/>
    <w:basedOn w:val="Normal"/>
    <w:uiPriority w:val="99"/>
    <w:semiHidden/>
    <w:unhideWhenUsed/>
    <w:rsid w:val="00BD4DA3"/>
    <w:rPr>
      <w:rFonts w:ascii="Times New Roman" w:hAnsi="Times New Roman" w:cs="Times New Roman"/>
      <w:sz w:val="24"/>
      <w:szCs w:val="24"/>
    </w:rPr>
  </w:style>
  <w:style w:type="character" w:styleId="PlaceholderText">
    <w:name w:val="Placeholder Text"/>
    <w:basedOn w:val="DefaultParagraphFont"/>
    <w:uiPriority w:val="99"/>
    <w:semiHidden/>
    <w:rsid w:val="00621E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ribaf.2024.102302" TargetMode="External"/><Relationship Id="rId13" Type="http://schemas.openxmlformats.org/officeDocument/2006/relationships/hyperlink" Target="https://arxiv.org/pdf/2302.10252"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16/j.ribaf.2024.102302" TargetMode="External"/><Relationship Id="rId12" Type="http://schemas.openxmlformats.org/officeDocument/2006/relationships/hyperlink" Target="https://doi.org/10.1016/j.jimonfin.2023.102880" TargetMode="External"/><Relationship Id="rId17" Type="http://schemas.openxmlformats.org/officeDocument/2006/relationships/hyperlink" Target="https://doi.org/10.1016/j.physa.2022.127379" TargetMode="External"/><Relationship Id="rId2" Type="http://schemas.openxmlformats.org/officeDocument/2006/relationships/styles" Target="styles.xml"/><Relationship Id="rId16" Type="http://schemas.openxmlformats.org/officeDocument/2006/relationships/hyperlink" Target="https://doi.org/10.1016/j.physa.2022.127379" TargetMode="External"/><Relationship Id="rId1" Type="http://schemas.openxmlformats.org/officeDocument/2006/relationships/numbering" Target="numbering.xml"/><Relationship Id="rId6" Type="http://schemas.openxmlformats.org/officeDocument/2006/relationships/hyperlink" Target="https://doi.org/10.3390/jrfm18100532" TargetMode="External"/><Relationship Id="rId11" Type="http://schemas.openxmlformats.org/officeDocument/2006/relationships/hyperlink" Target="https://doi.org/10.1016/j.jimonfin.2023.102880" TargetMode="External"/><Relationship Id="rId5" Type="http://schemas.openxmlformats.org/officeDocument/2006/relationships/hyperlink" Target="https://doi.org/10.3390/jrfm18100532" TargetMode="External"/><Relationship Id="rId15" Type="http://schemas.openxmlformats.org/officeDocument/2006/relationships/hyperlink" Target="https://doi.org/10.1007/s11135-023-01761-1" TargetMode="External"/><Relationship Id="rId10" Type="http://schemas.openxmlformats.org/officeDocument/2006/relationships/hyperlink" Target="https://doi.org/10.1016/j.irfa.2024.103211"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016/j.irfa.2024.103211" TargetMode="External"/><Relationship Id="rId14" Type="http://schemas.openxmlformats.org/officeDocument/2006/relationships/hyperlink" Target="https://doi.org/10.1007/s11135-023-01761-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319</TotalTime>
  <Pages>16</Pages>
  <Words>4865</Words>
  <Characters>27737</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Nhi Võ</cp:lastModifiedBy>
  <cp:revision>10</cp:revision>
  <dcterms:created xsi:type="dcterms:W3CDTF">2026-10-18T06:53:00Z</dcterms:created>
  <dcterms:modified xsi:type="dcterms:W3CDTF">2026-10-23T07:38:00Z</dcterms:modified>
</cp:coreProperties>
</file>