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CHƯƠNG 2. DỮ LIỆU VÀ PHƯƠNG PHÁP XỬ LÝ</w:t>
      </w:r>
    </w:p>
    <w:p>
      <w:pPr>
        <w:jc w:val="center"/>
      </w:pPr>
      <w:r>
        <w:rPr>
          <w:i/>
        </w:rPr>
        <w:t>Global Financial Conditions and Cryptocurrency Markets: Nonlinear Transmission of Monetary, Dollar and Risk Shocks to Bitcoin and Ethereum</w:t>
      </w:r>
    </w:p>
    <w:p>
      <w:pPr>
        <w:pStyle w:val="Heading1"/>
      </w:pPr>
      <w:r>
        <w:t>2.1. Thiết kế và phạm vi dữ liệu</w:t>
      </w:r>
    </w:p>
    <w:p>
      <w:r>
        <w:t>Nghiên cứu sử dụng dữ liệu chuỗi thời gian với lịch ngày liên tục trong giai đoạn 2018-01-01 đến 2025-12-31. Tập dữ liệu đã xử lý hiện có 2,922 dòng và 17 cột. Hai tài sản số được phân tích là Bitcoin (BTC) và Ethereum (ETH); các điều kiện tài chính toàn cầu được đại diện bởi lợi suất Kho bạc Mỹ kỳ hạn 2 năm (US2Y), chỉ số USD proxy (DXY) và chỉ số biến động VIX.</w:t>
      </w:r>
    </w:p>
    <w:p>
      <w:r>
        <w:t>Phạm vi dữ liệu và biến được mô tả theo đúng cấu trúc dataset hiện có. Các biến bổ sung hoặc quy tắc phân nhóm thị trường cần được xác định thống nhất trong cấu hình nghiên cứu trước khi dùng cho mô hình suy luận.</w:t>
      </w:r>
    </w:p>
    <w:p>
      <w:pPr>
        <w:pStyle w:val="Heading1"/>
      </w:pPr>
      <w:r>
        <w:t>2.2. Nguồn dữ liệu</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sz w:val="16"/>
              </w:rPr>
              <w:t>Biến</w:t>
            </w:r>
          </w:p>
        </w:tc>
        <w:tc>
          <w:tcPr>
            <w:tcW w:type="dxa" w:w="3312"/>
          </w:tcPr>
          <w:p>
            <w:r>
              <w:rPr>
                <w:b/>
                <w:sz w:val="16"/>
              </w:rPr>
              <w:t>Mã/nguồn</w:t>
            </w:r>
          </w:p>
        </w:tc>
        <w:tc>
          <w:tcPr>
            <w:tcW w:type="dxa" w:w="3312"/>
          </w:tcPr>
          <w:p>
            <w:r>
              <w:rPr>
                <w:b/>
                <w:sz w:val="16"/>
              </w:rPr>
              <w:t>Ghi chú</w:t>
            </w:r>
          </w:p>
        </w:tc>
      </w:tr>
      <w:tr>
        <w:tc>
          <w:tcPr>
            <w:tcW w:type="dxa" w:w="3312"/>
            <w:vAlign w:val="center"/>
          </w:tcPr>
          <w:p>
            <w:r>
              <w:rPr>
                <w:sz w:val="16"/>
              </w:rPr>
              <w:t>Bitcoin</w:t>
            </w:r>
          </w:p>
        </w:tc>
        <w:tc>
          <w:tcPr>
            <w:tcW w:type="dxa" w:w="3312"/>
            <w:vAlign w:val="center"/>
          </w:tcPr>
          <w:p>
            <w:r>
              <w:rPr>
                <w:sz w:val="16"/>
              </w:rPr>
              <w:t>Yahoo Finance – BTC-USD</w:t>
            </w:r>
          </w:p>
        </w:tc>
        <w:tc>
          <w:tcPr>
            <w:tcW w:type="dxa" w:w="3312"/>
            <w:vAlign w:val="center"/>
          </w:tcPr>
          <w:p>
            <w:r>
              <w:rPr>
                <w:sz w:val="16"/>
              </w:rPr>
              <w:t>Giá đóng cửa; tần suất ngày.</w:t>
            </w:r>
          </w:p>
        </w:tc>
      </w:tr>
      <w:tr>
        <w:tc>
          <w:tcPr>
            <w:tcW w:type="dxa" w:w="3312"/>
            <w:vAlign w:val="center"/>
          </w:tcPr>
          <w:p>
            <w:r>
              <w:rPr>
                <w:sz w:val="16"/>
              </w:rPr>
              <w:t>Ethereum</w:t>
            </w:r>
          </w:p>
        </w:tc>
        <w:tc>
          <w:tcPr>
            <w:tcW w:type="dxa" w:w="3312"/>
            <w:vAlign w:val="center"/>
          </w:tcPr>
          <w:p>
            <w:r>
              <w:rPr>
                <w:sz w:val="16"/>
              </w:rPr>
              <w:t>Yahoo Finance – ETH-USD</w:t>
            </w:r>
          </w:p>
        </w:tc>
        <w:tc>
          <w:tcPr>
            <w:tcW w:type="dxa" w:w="3312"/>
            <w:vAlign w:val="center"/>
          </w:tcPr>
          <w:p>
            <w:r>
              <w:rPr>
                <w:sz w:val="16"/>
              </w:rPr>
              <w:t>Giá đóng cửa; tần suất ngày.</w:t>
            </w:r>
          </w:p>
        </w:tc>
      </w:tr>
      <w:tr>
        <w:tc>
          <w:tcPr>
            <w:tcW w:type="dxa" w:w="3312"/>
            <w:vAlign w:val="center"/>
          </w:tcPr>
          <w:p>
            <w:r>
              <w:rPr>
                <w:sz w:val="16"/>
              </w:rPr>
              <w:t>VIX</w:t>
            </w:r>
          </w:p>
        </w:tc>
        <w:tc>
          <w:tcPr>
            <w:tcW w:type="dxa" w:w="3312"/>
            <w:vAlign w:val="center"/>
          </w:tcPr>
          <w:p>
            <w:r>
              <w:rPr>
                <w:sz w:val="16"/>
              </w:rPr>
              <w:t>Yahoo Finance – ^VIX</w:t>
            </w:r>
          </w:p>
        </w:tc>
        <w:tc>
          <w:tcPr>
            <w:tcW w:type="dxa" w:w="3312"/>
            <w:vAlign w:val="center"/>
          </w:tcPr>
          <w:p>
            <w:r>
              <w:rPr>
                <w:sz w:val="16"/>
              </w:rPr>
              <w:t>Chỉ báo biến động kỳ vọng thị trường.</w:t>
            </w:r>
          </w:p>
        </w:tc>
      </w:tr>
      <w:tr>
        <w:tc>
          <w:tcPr>
            <w:tcW w:type="dxa" w:w="3312"/>
            <w:vAlign w:val="center"/>
          </w:tcPr>
          <w:p>
            <w:r>
              <w:rPr>
                <w:sz w:val="16"/>
              </w:rPr>
              <w:t>USD index proxy</w:t>
            </w:r>
          </w:p>
        </w:tc>
        <w:tc>
          <w:tcPr>
            <w:tcW w:type="dxa" w:w="3312"/>
            <w:vAlign w:val="center"/>
          </w:tcPr>
          <w:p>
            <w:r>
              <w:rPr>
                <w:sz w:val="16"/>
              </w:rPr>
              <w:t>Yahoo Finance – DX-Y.NYB</w:t>
            </w:r>
          </w:p>
        </w:tc>
        <w:tc>
          <w:tcPr>
            <w:tcW w:type="dxa" w:w="3312"/>
            <w:vAlign w:val="center"/>
          </w:tcPr>
          <w:p>
            <w:r>
              <w:rPr>
                <w:sz w:val="16"/>
              </w:rPr>
              <w:t>Cần ghi rõ là mã proxy được dùng trong pipeline.</w:t>
            </w:r>
          </w:p>
        </w:tc>
      </w:tr>
      <w:tr>
        <w:tc>
          <w:tcPr>
            <w:tcW w:type="dxa" w:w="3312"/>
            <w:vAlign w:val="center"/>
          </w:tcPr>
          <w:p>
            <w:r>
              <w:rPr>
                <w:sz w:val="16"/>
              </w:rPr>
              <w:t>US2Y</w:t>
            </w:r>
          </w:p>
        </w:tc>
        <w:tc>
          <w:tcPr>
            <w:tcW w:type="dxa" w:w="3312"/>
            <w:vAlign w:val="center"/>
          </w:tcPr>
          <w:p>
            <w:r>
              <w:rPr>
                <w:sz w:val="16"/>
              </w:rPr>
              <w:t>FRED – DGS2</w:t>
            </w:r>
          </w:p>
        </w:tc>
        <w:tc>
          <w:tcPr>
            <w:tcW w:type="dxa" w:w="3312"/>
            <w:vAlign w:val="center"/>
          </w:tcPr>
          <w:p>
            <w:r>
              <w:rPr>
                <w:sz w:val="16"/>
              </w:rPr>
              <w:t>Lợi suất Kho bạc Mỹ kỳ hạn 2 năm; ngày nghỉ/không giao dịch có thể không có quan sát.</w:t>
            </w:r>
          </w:p>
        </w:tc>
      </w:tr>
    </w:tbl>
    <w:p>
      <w:r>
        <w:t>Nhật ký nguồn dữ liệu nằm tại docs/data_source_log.xlsx nếu có trong repository. Nên lưu thời điểm tải, mã chuỗi, khoảng thời gian và số quan sát hợp lệ để tăng khả năng tái lập.</w:t>
      </w:r>
    </w:p>
    <w:p>
      <w:pPr>
        <w:pStyle w:val="Heading1"/>
      </w:pPr>
      <w:r>
        <w:t>2.3. Đồng bộ và làm sạch dữ liệu</w:t>
      </w:r>
    </w:p>
    <w:p>
      <w:r>
        <w:t>Các chuỗi được đưa về chỉ mục ngày liên tục để thống nhất mốc thời gian. Dữ liệu vĩ mô không được tự động điền tiến, điền lùi hoặc nội suy trong dataset chuẩn. Do đó, giá trị thiếu phản ánh việc nguồn không có quan sát ở ngày tương ứng; không nên diễn giải chúng như giá trị bằng không.</w:t>
      </w:r>
    </w:p>
    <w:p>
      <w:r>
        <w:t>Lợi suất log của BTC và ETH được tính trên lịch giá crypto liên tục trước khi phân tích các biến vĩ mô. Với US2Y, DXY và VIX, các biến thay đổi được tính giữa hai lần quan sát hợp lệ liên tiếp; nếu khoảng cách quan sát dài hơn một ngày, biến đổi đó không tương đương với thay đổi một ngày. Các cột observation_gap_days được giữ lại để nhận diện trường hợp này.</w:t>
      </w:r>
    </w:p>
    <w:p>
      <w:pPr>
        <w:pStyle w:val="Heading1"/>
      </w:pPr>
      <w:r>
        <w:t>2.4. Xây dựng biến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sz w:val="16"/>
              </w:rPr>
              <w:t>Biến</w:t>
            </w:r>
          </w:p>
        </w:tc>
        <w:tc>
          <w:tcPr>
            <w:tcW w:type="dxa" w:w="3312"/>
          </w:tcPr>
          <w:p>
            <w:r>
              <w:rPr>
                <w:b/>
                <w:sz w:val="16"/>
              </w:rPr>
              <w:t>Công thức/định nghĩa</w:t>
            </w:r>
          </w:p>
        </w:tc>
        <w:tc>
          <w:tcPr>
            <w:tcW w:type="dxa" w:w="3312"/>
          </w:tcPr>
          <w:p>
            <w:r>
              <w:rPr>
                <w:b/>
                <w:sz w:val="16"/>
              </w:rPr>
              <w:t>Đơn vị</w:t>
            </w:r>
          </w:p>
        </w:tc>
      </w:tr>
      <w:tr>
        <w:tc>
          <w:tcPr>
            <w:tcW w:type="dxa" w:w="3312"/>
            <w:vAlign w:val="center"/>
          </w:tcPr>
          <w:p>
            <w:r>
              <w:rPr>
                <w:sz w:val="16"/>
              </w:rPr>
              <w:t>BTC_log_return_pct</w:t>
            </w:r>
          </w:p>
        </w:tc>
        <w:tc>
          <w:tcPr>
            <w:tcW w:type="dxa" w:w="3312"/>
            <w:vAlign w:val="center"/>
          </w:tcPr>
          <w:p>
            <w:r>
              <w:rPr>
                <w:sz w:val="16"/>
              </w:rPr>
              <w:t>100 × ln(BTC_t / BTC_(t−1))</w:t>
            </w:r>
          </w:p>
        </w:tc>
        <w:tc>
          <w:tcPr>
            <w:tcW w:type="dxa" w:w="3312"/>
            <w:vAlign w:val="center"/>
          </w:tcPr>
          <w:p>
            <w:r>
              <w:rPr>
                <w:sz w:val="16"/>
              </w:rPr>
              <w:t>%/ngày</w:t>
            </w:r>
          </w:p>
        </w:tc>
      </w:tr>
      <w:tr>
        <w:tc>
          <w:tcPr>
            <w:tcW w:type="dxa" w:w="3312"/>
            <w:vAlign w:val="center"/>
          </w:tcPr>
          <w:p>
            <w:r>
              <w:rPr>
                <w:sz w:val="16"/>
              </w:rPr>
              <w:t>ETH_log_return_pct</w:t>
            </w:r>
          </w:p>
        </w:tc>
        <w:tc>
          <w:tcPr>
            <w:tcW w:type="dxa" w:w="3312"/>
            <w:vAlign w:val="center"/>
          </w:tcPr>
          <w:p>
            <w:r>
              <w:rPr>
                <w:sz w:val="16"/>
              </w:rPr>
              <w:t>100 × ln(ETH_t / ETH_(t−1))</w:t>
            </w:r>
          </w:p>
        </w:tc>
        <w:tc>
          <w:tcPr>
            <w:tcW w:type="dxa" w:w="3312"/>
            <w:vAlign w:val="center"/>
          </w:tcPr>
          <w:p>
            <w:r>
              <w:rPr>
                <w:sz w:val="16"/>
              </w:rPr>
              <w:t>%/ngày</w:t>
            </w:r>
          </w:p>
        </w:tc>
      </w:tr>
      <w:tr>
        <w:tc>
          <w:tcPr>
            <w:tcW w:type="dxa" w:w="3312"/>
            <w:vAlign w:val="center"/>
          </w:tcPr>
          <w:p>
            <w:r>
              <w:rPr>
                <w:sz w:val="16"/>
              </w:rPr>
              <w:t>US2Y_change_pp</w:t>
            </w:r>
          </w:p>
        </w:tc>
        <w:tc>
          <w:tcPr>
            <w:tcW w:type="dxa" w:w="3312"/>
            <w:vAlign w:val="center"/>
          </w:tcPr>
          <w:p>
            <w:r>
              <w:rPr>
                <w:sz w:val="16"/>
              </w:rPr>
              <w:t>US2Y_t − US2Y_previous_observed</w:t>
            </w:r>
          </w:p>
        </w:tc>
        <w:tc>
          <w:tcPr>
            <w:tcW w:type="dxa" w:w="3312"/>
            <w:vAlign w:val="center"/>
          </w:tcPr>
          <w:p>
            <w:r>
              <w:rPr>
                <w:sz w:val="16"/>
              </w:rPr>
              <w:t>Điểm phần trăm</w:t>
            </w:r>
          </w:p>
        </w:tc>
      </w:tr>
      <w:tr>
        <w:tc>
          <w:tcPr>
            <w:tcW w:type="dxa" w:w="3312"/>
            <w:vAlign w:val="center"/>
          </w:tcPr>
          <w:p>
            <w:r>
              <w:rPr>
                <w:sz w:val="16"/>
              </w:rPr>
              <w:t>DXY_log_return_pct</w:t>
            </w:r>
          </w:p>
        </w:tc>
        <w:tc>
          <w:tcPr>
            <w:tcW w:type="dxa" w:w="3312"/>
            <w:vAlign w:val="center"/>
          </w:tcPr>
          <w:p>
            <w:r>
              <w:rPr>
                <w:sz w:val="16"/>
              </w:rPr>
              <w:t>100 × ln(DXY_t / DXY_previous_observed)</w:t>
            </w:r>
          </w:p>
        </w:tc>
        <w:tc>
          <w:tcPr>
            <w:tcW w:type="dxa" w:w="3312"/>
            <w:vAlign w:val="center"/>
          </w:tcPr>
          <w:p>
            <w:r>
              <w:rPr>
                <w:sz w:val="16"/>
              </w:rPr>
              <w:t>% giữa hai lần quan sát</w:t>
            </w:r>
          </w:p>
        </w:tc>
      </w:tr>
      <w:tr>
        <w:tc>
          <w:tcPr>
            <w:tcW w:type="dxa" w:w="3312"/>
            <w:vAlign w:val="center"/>
          </w:tcPr>
          <w:p>
            <w:r>
              <w:rPr>
                <w:sz w:val="16"/>
              </w:rPr>
              <w:t>VIX_change_points</w:t>
            </w:r>
          </w:p>
        </w:tc>
        <w:tc>
          <w:tcPr>
            <w:tcW w:type="dxa" w:w="3312"/>
            <w:vAlign w:val="center"/>
          </w:tcPr>
          <w:p>
            <w:r>
              <w:rPr>
                <w:sz w:val="16"/>
              </w:rPr>
              <w:t>VIX_t − VIX_previous_observed</w:t>
            </w:r>
          </w:p>
        </w:tc>
        <w:tc>
          <w:tcPr>
            <w:tcW w:type="dxa" w:w="3312"/>
            <w:vAlign w:val="center"/>
          </w:tcPr>
          <w:p>
            <w:r>
              <w:rPr>
                <w:sz w:val="16"/>
              </w:rPr>
              <w:t>Điểm VIX</w:t>
            </w:r>
          </w:p>
        </w:tc>
      </w:tr>
      <w:tr>
        <w:tc>
          <w:tcPr>
            <w:tcW w:type="dxa" w:w="3312"/>
            <w:vAlign w:val="center"/>
          </w:tcPr>
          <w:p>
            <w:r>
              <w:rPr>
                <w:sz w:val="16"/>
              </w:rPr>
              <w:t>*_observed</w:t>
            </w:r>
          </w:p>
        </w:tc>
        <w:tc>
          <w:tcPr>
            <w:tcW w:type="dxa" w:w="3312"/>
            <w:vAlign w:val="center"/>
          </w:tcPr>
          <w:p>
            <w:r>
              <w:rPr>
                <w:sz w:val="16"/>
              </w:rPr>
              <w:t>1 nếu nguồn có quan sát ở ngày đó; ngược lại 0</w:t>
            </w:r>
          </w:p>
        </w:tc>
        <w:tc>
          <w:tcPr>
            <w:tcW w:type="dxa" w:w="3312"/>
            <w:vAlign w:val="center"/>
          </w:tcPr>
          <w:p>
            <w:r>
              <w:rPr>
                <w:sz w:val="16"/>
              </w:rPr>
              <w:t>Nhị phân</w:t>
            </w:r>
          </w:p>
        </w:tc>
      </w:tr>
    </w:tbl>
    <w:p>
      <w:r>
        <w:t>Ký hiệu previous_observed chỉ lần quan sát hợp lệ trước đó, không nhất thiết là ngày lịch liền kề. Vì vậy cần dùng cùng các cột gap để lọc hoặc kiểm tra độ nhạy khi phân tích biến đổi vĩ mô.</w:t>
      </w:r>
    </w:p>
    <w:p>
      <w:pPr>
        <w:pStyle w:val="Heading1"/>
      </w:pPr>
      <w:r>
        <w:t>2.5. Kiểm tra chất lượng dữ liệu</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sz w:val="14"/>
              </w:rPr>
              <w:t>Biến</w:t>
            </w:r>
          </w:p>
        </w:tc>
        <w:tc>
          <w:tcPr>
            <w:tcW w:type="dxa" w:w="2484"/>
          </w:tcPr>
          <w:p>
            <w:r>
              <w:rPr>
                <w:b/>
                <w:sz w:val="14"/>
              </w:rPr>
              <w:t>Hợp lệ</w:t>
            </w:r>
          </w:p>
        </w:tc>
        <w:tc>
          <w:tcPr>
            <w:tcW w:type="dxa" w:w="2484"/>
          </w:tcPr>
          <w:p>
            <w:r>
              <w:rPr>
                <w:b/>
                <w:sz w:val="14"/>
              </w:rPr>
              <w:t>Thiếu</w:t>
            </w:r>
          </w:p>
        </w:tc>
        <w:tc>
          <w:tcPr>
            <w:tcW w:type="dxa" w:w="2484"/>
          </w:tcPr>
          <w:p>
            <w:r>
              <w:rPr>
                <w:b/>
                <w:sz w:val="14"/>
              </w:rPr>
              <w:t>Tỷ lệ thiếu</w:t>
            </w:r>
          </w:p>
        </w:tc>
      </w:tr>
      <w:tr>
        <w:tc>
          <w:tcPr>
            <w:tcW w:type="dxa" w:w="2484"/>
            <w:vAlign w:val="center"/>
          </w:tcPr>
          <w:p>
            <w:r>
              <w:rPr>
                <w:sz w:val="14"/>
              </w:rPr>
              <w:t>date</w:t>
            </w:r>
          </w:p>
        </w:tc>
        <w:tc>
          <w:tcPr>
            <w:tcW w:type="dxa" w:w="2484"/>
            <w:vAlign w:val="center"/>
          </w:tcPr>
          <w:p>
            <w:r>
              <w:rPr>
                <w:sz w:val="14"/>
              </w:rPr>
              <w:t>2922</w:t>
            </w:r>
          </w:p>
        </w:tc>
        <w:tc>
          <w:tcPr>
            <w:tcW w:type="dxa" w:w="2484"/>
            <w:vAlign w:val="center"/>
          </w:tcPr>
          <w:p>
            <w:r>
              <w:rPr>
                <w:sz w:val="14"/>
              </w:rPr>
              <w:t>0</w:t>
            </w:r>
          </w:p>
        </w:tc>
        <w:tc>
          <w:tcPr>
            <w:tcW w:type="dxa" w:w="2484"/>
            <w:vAlign w:val="center"/>
          </w:tcPr>
          <w:p>
            <w:r>
              <w:rPr>
                <w:sz w:val="14"/>
              </w:rPr>
              <w:t>0.00%</w:t>
            </w:r>
          </w:p>
        </w:tc>
      </w:tr>
      <w:tr>
        <w:tc>
          <w:tcPr>
            <w:tcW w:type="dxa" w:w="2484"/>
            <w:vAlign w:val="center"/>
          </w:tcPr>
          <w:p>
            <w:r>
              <w:rPr>
                <w:sz w:val="14"/>
              </w:rPr>
              <w:t>BTC</w:t>
            </w:r>
          </w:p>
        </w:tc>
        <w:tc>
          <w:tcPr>
            <w:tcW w:type="dxa" w:w="2484"/>
            <w:vAlign w:val="center"/>
          </w:tcPr>
          <w:p>
            <w:r>
              <w:rPr>
                <w:sz w:val="14"/>
              </w:rPr>
              <w:t>2922</w:t>
            </w:r>
          </w:p>
        </w:tc>
        <w:tc>
          <w:tcPr>
            <w:tcW w:type="dxa" w:w="2484"/>
            <w:vAlign w:val="center"/>
          </w:tcPr>
          <w:p>
            <w:r>
              <w:rPr>
                <w:sz w:val="14"/>
              </w:rPr>
              <w:t>0</w:t>
            </w:r>
          </w:p>
        </w:tc>
        <w:tc>
          <w:tcPr>
            <w:tcW w:type="dxa" w:w="2484"/>
            <w:vAlign w:val="center"/>
          </w:tcPr>
          <w:p>
            <w:r>
              <w:rPr>
                <w:sz w:val="14"/>
              </w:rPr>
              <w:t>0.00%</w:t>
            </w:r>
          </w:p>
        </w:tc>
      </w:tr>
      <w:tr>
        <w:tc>
          <w:tcPr>
            <w:tcW w:type="dxa" w:w="2484"/>
            <w:vAlign w:val="center"/>
          </w:tcPr>
          <w:p>
            <w:r>
              <w:rPr>
                <w:sz w:val="14"/>
              </w:rPr>
              <w:t>ETH</w:t>
            </w:r>
          </w:p>
        </w:tc>
        <w:tc>
          <w:tcPr>
            <w:tcW w:type="dxa" w:w="2484"/>
            <w:vAlign w:val="center"/>
          </w:tcPr>
          <w:p>
            <w:r>
              <w:rPr>
                <w:sz w:val="14"/>
              </w:rPr>
              <w:t>2922</w:t>
            </w:r>
          </w:p>
        </w:tc>
        <w:tc>
          <w:tcPr>
            <w:tcW w:type="dxa" w:w="2484"/>
            <w:vAlign w:val="center"/>
          </w:tcPr>
          <w:p>
            <w:r>
              <w:rPr>
                <w:sz w:val="14"/>
              </w:rPr>
              <w:t>0</w:t>
            </w:r>
          </w:p>
        </w:tc>
        <w:tc>
          <w:tcPr>
            <w:tcW w:type="dxa" w:w="2484"/>
            <w:vAlign w:val="center"/>
          </w:tcPr>
          <w:p>
            <w:r>
              <w:rPr>
                <w:sz w:val="14"/>
              </w:rPr>
              <w:t>0.00%</w:t>
            </w:r>
          </w:p>
        </w:tc>
      </w:tr>
      <w:tr>
        <w:tc>
          <w:tcPr>
            <w:tcW w:type="dxa" w:w="2484"/>
            <w:vAlign w:val="center"/>
          </w:tcPr>
          <w:p>
            <w:r>
              <w:rPr>
                <w:sz w:val="14"/>
              </w:rPr>
              <w:t>US2Y</w:t>
            </w:r>
          </w:p>
        </w:tc>
        <w:tc>
          <w:tcPr>
            <w:tcW w:type="dxa" w:w="2484"/>
            <w:vAlign w:val="center"/>
          </w:tcPr>
          <w:p>
            <w:r>
              <w:rPr>
                <w:sz w:val="14"/>
              </w:rPr>
              <w:t>1999</w:t>
            </w:r>
          </w:p>
        </w:tc>
        <w:tc>
          <w:tcPr>
            <w:tcW w:type="dxa" w:w="2484"/>
            <w:vAlign w:val="center"/>
          </w:tcPr>
          <w:p>
            <w:r>
              <w:rPr>
                <w:sz w:val="14"/>
              </w:rPr>
              <w:t>923</w:t>
            </w:r>
          </w:p>
        </w:tc>
        <w:tc>
          <w:tcPr>
            <w:tcW w:type="dxa" w:w="2484"/>
            <w:vAlign w:val="center"/>
          </w:tcPr>
          <w:p>
            <w:r>
              <w:rPr>
                <w:sz w:val="14"/>
              </w:rPr>
              <w:t>31.59%</w:t>
            </w:r>
          </w:p>
        </w:tc>
      </w:tr>
      <w:tr>
        <w:tc>
          <w:tcPr>
            <w:tcW w:type="dxa" w:w="2484"/>
            <w:vAlign w:val="center"/>
          </w:tcPr>
          <w:p>
            <w:r>
              <w:rPr>
                <w:sz w:val="14"/>
              </w:rPr>
              <w:t>DXY</w:t>
            </w:r>
          </w:p>
        </w:tc>
        <w:tc>
          <w:tcPr>
            <w:tcW w:type="dxa" w:w="2484"/>
            <w:vAlign w:val="center"/>
          </w:tcPr>
          <w:p>
            <w:r>
              <w:rPr>
                <w:sz w:val="14"/>
              </w:rPr>
              <w:t>2013</w:t>
            </w:r>
          </w:p>
        </w:tc>
        <w:tc>
          <w:tcPr>
            <w:tcW w:type="dxa" w:w="2484"/>
            <w:vAlign w:val="center"/>
          </w:tcPr>
          <w:p>
            <w:r>
              <w:rPr>
                <w:sz w:val="14"/>
              </w:rPr>
              <w:t>909</w:t>
            </w:r>
          </w:p>
        </w:tc>
        <w:tc>
          <w:tcPr>
            <w:tcW w:type="dxa" w:w="2484"/>
            <w:vAlign w:val="center"/>
          </w:tcPr>
          <w:p>
            <w:r>
              <w:rPr>
                <w:sz w:val="14"/>
              </w:rPr>
              <w:t>31.11%</w:t>
            </w:r>
          </w:p>
        </w:tc>
      </w:tr>
      <w:tr>
        <w:tc>
          <w:tcPr>
            <w:tcW w:type="dxa" w:w="2484"/>
            <w:vAlign w:val="center"/>
          </w:tcPr>
          <w:p>
            <w:r>
              <w:rPr>
                <w:sz w:val="14"/>
              </w:rPr>
              <w:t>VIX</w:t>
            </w:r>
          </w:p>
        </w:tc>
        <w:tc>
          <w:tcPr>
            <w:tcW w:type="dxa" w:w="2484"/>
            <w:vAlign w:val="center"/>
          </w:tcPr>
          <w:p>
            <w:r>
              <w:rPr>
                <w:sz w:val="14"/>
              </w:rPr>
              <w:t>2011</w:t>
            </w:r>
          </w:p>
        </w:tc>
        <w:tc>
          <w:tcPr>
            <w:tcW w:type="dxa" w:w="2484"/>
            <w:vAlign w:val="center"/>
          </w:tcPr>
          <w:p>
            <w:r>
              <w:rPr>
                <w:sz w:val="14"/>
              </w:rPr>
              <w:t>911</w:t>
            </w:r>
          </w:p>
        </w:tc>
        <w:tc>
          <w:tcPr>
            <w:tcW w:type="dxa" w:w="2484"/>
            <w:vAlign w:val="center"/>
          </w:tcPr>
          <w:p>
            <w:r>
              <w:rPr>
                <w:sz w:val="14"/>
              </w:rPr>
              <w:t>31.18%</w:t>
            </w:r>
          </w:p>
        </w:tc>
      </w:tr>
      <w:tr>
        <w:tc>
          <w:tcPr>
            <w:tcW w:type="dxa" w:w="2484"/>
            <w:vAlign w:val="center"/>
          </w:tcPr>
          <w:p>
            <w:r>
              <w:rPr>
                <w:sz w:val="14"/>
              </w:rPr>
              <w:t>BTC_log_return_pct</w:t>
            </w:r>
          </w:p>
        </w:tc>
        <w:tc>
          <w:tcPr>
            <w:tcW w:type="dxa" w:w="2484"/>
            <w:vAlign w:val="center"/>
          </w:tcPr>
          <w:p>
            <w:r>
              <w:rPr>
                <w:sz w:val="14"/>
              </w:rPr>
              <w:t>2921</w:t>
            </w:r>
          </w:p>
        </w:tc>
        <w:tc>
          <w:tcPr>
            <w:tcW w:type="dxa" w:w="2484"/>
            <w:vAlign w:val="center"/>
          </w:tcPr>
          <w:p>
            <w:r>
              <w:rPr>
                <w:sz w:val="14"/>
              </w:rPr>
              <w:t>1</w:t>
            </w:r>
          </w:p>
        </w:tc>
        <w:tc>
          <w:tcPr>
            <w:tcW w:type="dxa" w:w="2484"/>
            <w:vAlign w:val="center"/>
          </w:tcPr>
          <w:p>
            <w:r>
              <w:rPr>
                <w:sz w:val="14"/>
              </w:rPr>
              <w:t>0.03%</w:t>
            </w:r>
          </w:p>
        </w:tc>
      </w:tr>
      <w:tr>
        <w:tc>
          <w:tcPr>
            <w:tcW w:type="dxa" w:w="2484"/>
            <w:vAlign w:val="center"/>
          </w:tcPr>
          <w:p>
            <w:r>
              <w:rPr>
                <w:sz w:val="14"/>
              </w:rPr>
              <w:t>ETH_log_return_pct</w:t>
            </w:r>
          </w:p>
        </w:tc>
        <w:tc>
          <w:tcPr>
            <w:tcW w:type="dxa" w:w="2484"/>
            <w:vAlign w:val="center"/>
          </w:tcPr>
          <w:p>
            <w:r>
              <w:rPr>
                <w:sz w:val="14"/>
              </w:rPr>
              <w:t>2921</w:t>
            </w:r>
          </w:p>
        </w:tc>
        <w:tc>
          <w:tcPr>
            <w:tcW w:type="dxa" w:w="2484"/>
            <w:vAlign w:val="center"/>
          </w:tcPr>
          <w:p>
            <w:r>
              <w:rPr>
                <w:sz w:val="14"/>
              </w:rPr>
              <w:t>1</w:t>
            </w:r>
          </w:p>
        </w:tc>
        <w:tc>
          <w:tcPr>
            <w:tcW w:type="dxa" w:w="2484"/>
            <w:vAlign w:val="center"/>
          </w:tcPr>
          <w:p>
            <w:r>
              <w:rPr>
                <w:sz w:val="14"/>
              </w:rPr>
              <w:t>0.03%</w:t>
            </w:r>
          </w:p>
        </w:tc>
      </w:tr>
      <w:tr>
        <w:tc>
          <w:tcPr>
            <w:tcW w:type="dxa" w:w="2484"/>
            <w:vAlign w:val="center"/>
          </w:tcPr>
          <w:p>
            <w:r>
              <w:rPr>
                <w:sz w:val="14"/>
              </w:rPr>
              <w:t>US2Y_change_pp</w:t>
            </w:r>
          </w:p>
        </w:tc>
        <w:tc>
          <w:tcPr>
            <w:tcW w:type="dxa" w:w="2484"/>
            <w:vAlign w:val="center"/>
          </w:tcPr>
          <w:p>
            <w:r>
              <w:rPr>
                <w:sz w:val="14"/>
              </w:rPr>
              <w:t>1998</w:t>
            </w:r>
          </w:p>
        </w:tc>
        <w:tc>
          <w:tcPr>
            <w:tcW w:type="dxa" w:w="2484"/>
            <w:vAlign w:val="center"/>
          </w:tcPr>
          <w:p>
            <w:r>
              <w:rPr>
                <w:sz w:val="14"/>
              </w:rPr>
              <w:t>924</w:t>
            </w:r>
          </w:p>
        </w:tc>
        <w:tc>
          <w:tcPr>
            <w:tcW w:type="dxa" w:w="2484"/>
            <w:vAlign w:val="center"/>
          </w:tcPr>
          <w:p>
            <w:r>
              <w:rPr>
                <w:sz w:val="14"/>
              </w:rPr>
              <w:t>31.62%</w:t>
            </w:r>
          </w:p>
        </w:tc>
      </w:tr>
      <w:tr>
        <w:tc>
          <w:tcPr>
            <w:tcW w:type="dxa" w:w="2484"/>
            <w:vAlign w:val="center"/>
          </w:tcPr>
          <w:p>
            <w:r>
              <w:rPr>
                <w:sz w:val="14"/>
              </w:rPr>
              <w:t>US2Y_observation_gap_days</w:t>
            </w:r>
          </w:p>
        </w:tc>
        <w:tc>
          <w:tcPr>
            <w:tcW w:type="dxa" w:w="2484"/>
            <w:vAlign w:val="center"/>
          </w:tcPr>
          <w:p>
            <w:r>
              <w:rPr>
                <w:sz w:val="14"/>
              </w:rPr>
              <w:t>1998</w:t>
            </w:r>
          </w:p>
        </w:tc>
        <w:tc>
          <w:tcPr>
            <w:tcW w:type="dxa" w:w="2484"/>
            <w:vAlign w:val="center"/>
          </w:tcPr>
          <w:p>
            <w:r>
              <w:rPr>
                <w:sz w:val="14"/>
              </w:rPr>
              <w:t>924</w:t>
            </w:r>
          </w:p>
        </w:tc>
        <w:tc>
          <w:tcPr>
            <w:tcW w:type="dxa" w:w="2484"/>
            <w:vAlign w:val="center"/>
          </w:tcPr>
          <w:p>
            <w:r>
              <w:rPr>
                <w:sz w:val="14"/>
              </w:rPr>
              <w:t>31.62%</w:t>
            </w:r>
          </w:p>
        </w:tc>
      </w:tr>
      <w:tr>
        <w:tc>
          <w:tcPr>
            <w:tcW w:type="dxa" w:w="2484"/>
            <w:vAlign w:val="center"/>
          </w:tcPr>
          <w:p>
            <w:r>
              <w:rPr>
                <w:sz w:val="14"/>
              </w:rPr>
              <w:t>US2Y_observed</w:t>
            </w:r>
          </w:p>
        </w:tc>
        <w:tc>
          <w:tcPr>
            <w:tcW w:type="dxa" w:w="2484"/>
            <w:vAlign w:val="center"/>
          </w:tcPr>
          <w:p>
            <w:r>
              <w:rPr>
                <w:sz w:val="14"/>
              </w:rPr>
              <w:t>2922</w:t>
            </w:r>
          </w:p>
        </w:tc>
        <w:tc>
          <w:tcPr>
            <w:tcW w:type="dxa" w:w="2484"/>
            <w:vAlign w:val="center"/>
          </w:tcPr>
          <w:p>
            <w:r>
              <w:rPr>
                <w:sz w:val="14"/>
              </w:rPr>
              <w:t>0</w:t>
            </w:r>
          </w:p>
        </w:tc>
        <w:tc>
          <w:tcPr>
            <w:tcW w:type="dxa" w:w="2484"/>
            <w:vAlign w:val="center"/>
          </w:tcPr>
          <w:p>
            <w:r>
              <w:rPr>
                <w:sz w:val="14"/>
              </w:rPr>
              <w:t>0.00%</w:t>
            </w:r>
          </w:p>
        </w:tc>
      </w:tr>
      <w:tr>
        <w:tc>
          <w:tcPr>
            <w:tcW w:type="dxa" w:w="2484"/>
            <w:vAlign w:val="center"/>
          </w:tcPr>
          <w:p>
            <w:r>
              <w:rPr>
                <w:sz w:val="14"/>
              </w:rPr>
              <w:t>DXY_log_return_pct</w:t>
            </w:r>
          </w:p>
        </w:tc>
        <w:tc>
          <w:tcPr>
            <w:tcW w:type="dxa" w:w="2484"/>
            <w:vAlign w:val="center"/>
          </w:tcPr>
          <w:p>
            <w:r>
              <w:rPr>
                <w:sz w:val="14"/>
              </w:rPr>
              <w:t>2012</w:t>
            </w:r>
          </w:p>
        </w:tc>
        <w:tc>
          <w:tcPr>
            <w:tcW w:type="dxa" w:w="2484"/>
            <w:vAlign w:val="center"/>
          </w:tcPr>
          <w:p>
            <w:r>
              <w:rPr>
                <w:sz w:val="14"/>
              </w:rPr>
              <w:t>910</w:t>
            </w:r>
          </w:p>
        </w:tc>
        <w:tc>
          <w:tcPr>
            <w:tcW w:type="dxa" w:w="2484"/>
            <w:vAlign w:val="center"/>
          </w:tcPr>
          <w:p>
            <w:r>
              <w:rPr>
                <w:sz w:val="14"/>
              </w:rPr>
              <w:t>31.14%</w:t>
            </w:r>
          </w:p>
        </w:tc>
      </w:tr>
      <w:tr>
        <w:tc>
          <w:tcPr>
            <w:tcW w:type="dxa" w:w="2484"/>
            <w:vAlign w:val="center"/>
          </w:tcPr>
          <w:p>
            <w:r>
              <w:rPr>
                <w:sz w:val="14"/>
              </w:rPr>
              <w:t>DXY_observation_gap_days</w:t>
            </w:r>
          </w:p>
        </w:tc>
        <w:tc>
          <w:tcPr>
            <w:tcW w:type="dxa" w:w="2484"/>
            <w:vAlign w:val="center"/>
          </w:tcPr>
          <w:p>
            <w:r>
              <w:rPr>
                <w:sz w:val="14"/>
              </w:rPr>
              <w:t>2012</w:t>
            </w:r>
          </w:p>
        </w:tc>
        <w:tc>
          <w:tcPr>
            <w:tcW w:type="dxa" w:w="2484"/>
            <w:vAlign w:val="center"/>
          </w:tcPr>
          <w:p>
            <w:r>
              <w:rPr>
                <w:sz w:val="14"/>
              </w:rPr>
              <w:t>910</w:t>
            </w:r>
          </w:p>
        </w:tc>
        <w:tc>
          <w:tcPr>
            <w:tcW w:type="dxa" w:w="2484"/>
            <w:vAlign w:val="center"/>
          </w:tcPr>
          <w:p>
            <w:r>
              <w:rPr>
                <w:sz w:val="14"/>
              </w:rPr>
              <w:t>31.14%</w:t>
            </w:r>
          </w:p>
        </w:tc>
      </w:tr>
      <w:tr>
        <w:tc>
          <w:tcPr>
            <w:tcW w:type="dxa" w:w="2484"/>
            <w:vAlign w:val="center"/>
          </w:tcPr>
          <w:p>
            <w:r>
              <w:rPr>
                <w:sz w:val="14"/>
              </w:rPr>
              <w:t>DXY_observed</w:t>
            </w:r>
          </w:p>
        </w:tc>
        <w:tc>
          <w:tcPr>
            <w:tcW w:type="dxa" w:w="2484"/>
            <w:vAlign w:val="center"/>
          </w:tcPr>
          <w:p>
            <w:r>
              <w:rPr>
                <w:sz w:val="14"/>
              </w:rPr>
              <w:t>2922</w:t>
            </w:r>
          </w:p>
        </w:tc>
        <w:tc>
          <w:tcPr>
            <w:tcW w:type="dxa" w:w="2484"/>
            <w:vAlign w:val="center"/>
          </w:tcPr>
          <w:p>
            <w:r>
              <w:rPr>
                <w:sz w:val="14"/>
              </w:rPr>
              <w:t>0</w:t>
            </w:r>
          </w:p>
        </w:tc>
        <w:tc>
          <w:tcPr>
            <w:tcW w:type="dxa" w:w="2484"/>
            <w:vAlign w:val="center"/>
          </w:tcPr>
          <w:p>
            <w:r>
              <w:rPr>
                <w:sz w:val="14"/>
              </w:rPr>
              <w:t>0.00%</w:t>
            </w:r>
          </w:p>
        </w:tc>
      </w:tr>
      <w:tr>
        <w:tc>
          <w:tcPr>
            <w:tcW w:type="dxa" w:w="2484"/>
            <w:vAlign w:val="center"/>
          </w:tcPr>
          <w:p>
            <w:r>
              <w:rPr>
                <w:sz w:val="14"/>
              </w:rPr>
              <w:t>VIX_change_points</w:t>
            </w:r>
          </w:p>
        </w:tc>
        <w:tc>
          <w:tcPr>
            <w:tcW w:type="dxa" w:w="2484"/>
            <w:vAlign w:val="center"/>
          </w:tcPr>
          <w:p>
            <w:r>
              <w:rPr>
                <w:sz w:val="14"/>
              </w:rPr>
              <w:t>2010</w:t>
            </w:r>
          </w:p>
        </w:tc>
        <w:tc>
          <w:tcPr>
            <w:tcW w:type="dxa" w:w="2484"/>
            <w:vAlign w:val="center"/>
          </w:tcPr>
          <w:p>
            <w:r>
              <w:rPr>
                <w:sz w:val="14"/>
              </w:rPr>
              <w:t>912</w:t>
            </w:r>
          </w:p>
        </w:tc>
        <w:tc>
          <w:tcPr>
            <w:tcW w:type="dxa" w:w="2484"/>
            <w:vAlign w:val="center"/>
          </w:tcPr>
          <w:p>
            <w:r>
              <w:rPr>
                <w:sz w:val="14"/>
              </w:rPr>
              <w:t>31.21%</w:t>
            </w:r>
          </w:p>
        </w:tc>
      </w:tr>
      <w:tr>
        <w:tc>
          <w:tcPr>
            <w:tcW w:type="dxa" w:w="2484"/>
            <w:vAlign w:val="center"/>
          </w:tcPr>
          <w:p>
            <w:r>
              <w:rPr>
                <w:sz w:val="14"/>
              </w:rPr>
              <w:t>VIX_observation_gap_days</w:t>
            </w:r>
          </w:p>
        </w:tc>
        <w:tc>
          <w:tcPr>
            <w:tcW w:type="dxa" w:w="2484"/>
            <w:vAlign w:val="center"/>
          </w:tcPr>
          <w:p>
            <w:r>
              <w:rPr>
                <w:sz w:val="14"/>
              </w:rPr>
              <w:t>2010</w:t>
            </w:r>
          </w:p>
        </w:tc>
        <w:tc>
          <w:tcPr>
            <w:tcW w:type="dxa" w:w="2484"/>
            <w:vAlign w:val="center"/>
          </w:tcPr>
          <w:p>
            <w:r>
              <w:rPr>
                <w:sz w:val="14"/>
              </w:rPr>
              <w:t>912</w:t>
            </w:r>
          </w:p>
        </w:tc>
        <w:tc>
          <w:tcPr>
            <w:tcW w:type="dxa" w:w="2484"/>
            <w:vAlign w:val="center"/>
          </w:tcPr>
          <w:p>
            <w:r>
              <w:rPr>
                <w:sz w:val="14"/>
              </w:rPr>
              <w:t>31.21%</w:t>
            </w:r>
          </w:p>
        </w:tc>
      </w:tr>
      <w:tr>
        <w:tc>
          <w:tcPr>
            <w:tcW w:type="dxa" w:w="2484"/>
            <w:vAlign w:val="center"/>
          </w:tcPr>
          <w:p>
            <w:r>
              <w:rPr>
                <w:sz w:val="14"/>
              </w:rPr>
              <w:t>VIX_observed</w:t>
            </w:r>
          </w:p>
        </w:tc>
        <w:tc>
          <w:tcPr>
            <w:tcW w:type="dxa" w:w="2484"/>
            <w:vAlign w:val="center"/>
          </w:tcPr>
          <w:p>
            <w:r>
              <w:rPr>
                <w:sz w:val="14"/>
              </w:rPr>
              <w:t>2922</w:t>
            </w:r>
          </w:p>
        </w:tc>
        <w:tc>
          <w:tcPr>
            <w:tcW w:type="dxa" w:w="2484"/>
            <w:vAlign w:val="center"/>
          </w:tcPr>
          <w:p>
            <w:r>
              <w:rPr>
                <w:sz w:val="14"/>
              </w:rPr>
              <w:t>0</w:t>
            </w:r>
          </w:p>
        </w:tc>
        <w:tc>
          <w:tcPr>
            <w:tcW w:type="dxa" w:w="2484"/>
            <w:vAlign w:val="center"/>
          </w:tcPr>
          <w:p>
            <w:r>
              <w:rPr>
                <w:sz w:val="14"/>
              </w:rPr>
              <w:t>0.00%</w:t>
            </w:r>
          </w:p>
        </w:tc>
      </w:tr>
    </w:tbl>
    <w:p>
      <w:r>
        <w:t>Bảng chất lượng được tính lại trực tiếp từ model_dataset.csv khi chạy script. Các giá trị thiếu được giữ nguyên để tránh tạo ra quan sát giả. Cờ observed giúp phân biệt ngày không có dữ liệu nguồn với giá trị biến đổi bị thiếu do chưa có quan sát trước đó.</w:t>
      </w:r>
    </w:p>
    <w:p>
      <w:pPr>
        <w:pStyle w:val="Heading1"/>
      </w:pPr>
      <w:r>
        <w:t>2.6. Thống kê mô tả và tương quan</w:t>
      </w:r>
    </w:p>
    <w:p>
      <w:r>
        <w:t>Bảng thống kê mô tả dưới đây được đọc từ outputs/tables/descriptive_stats.csv nếu file tồn tại. Cần bảo đảm bảng này được tạo lại từ cùng phiên bản dataset trước khi phát hành báo cáo.</w:t>
      </w:r>
    </w:p>
    <w:tbl>
      <w:tblPr>
        <w:tblStyle w:val="TableGrid"/>
        <w:tblW w:type="auto" w:w="0"/>
        <w:jc w:val="center"/>
        <w:tblLook w:firstColumn="1" w:firstRow="1" w:lastColumn="0" w:lastRow="0" w:noHBand="0" w:noVBand="1" w:val="04A0"/>
      </w:tblPr>
      <w:tblGrid>
        <w:gridCol w:w="828"/>
        <w:gridCol w:w="828"/>
        <w:gridCol w:w="828"/>
        <w:gridCol w:w="828"/>
        <w:gridCol w:w="828"/>
        <w:gridCol w:w="828"/>
        <w:gridCol w:w="828"/>
        <w:gridCol w:w="828"/>
        <w:gridCol w:w="828"/>
        <w:gridCol w:w="828"/>
        <w:gridCol w:w="828"/>
        <w:gridCol w:w="828"/>
      </w:tblGrid>
      <w:tr>
        <w:tc>
          <w:tcPr>
            <w:tcW w:type="dxa" w:w="828"/>
          </w:tcPr>
          <w:p>
            <w:r>
              <w:rPr>
                <w:b/>
                <w:sz w:val="14"/>
              </w:rPr>
              <w:t>Unnamed: 0</w:t>
            </w:r>
          </w:p>
        </w:tc>
        <w:tc>
          <w:tcPr>
            <w:tcW w:type="dxa" w:w="828"/>
          </w:tcPr>
          <w:p>
            <w:r>
              <w:rPr>
                <w:b/>
                <w:sz w:val="14"/>
              </w:rPr>
              <w:t>count</w:t>
            </w:r>
          </w:p>
        </w:tc>
        <w:tc>
          <w:tcPr>
            <w:tcW w:type="dxa" w:w="828"/>
          </w:tcPr>
          <w:p>
            <w:r>
              <w:rPr>
                <w:b/>
                <w:sz w:val="14"/>
              </w:rPr>
              <w:t>mean</w:t>
            </w:r>
          </w:p>
        </w:tc>
        <w:tc>
          <w:tcPr>
            <w:tcW w:type="dxa" w:w="828"/>
          </w:tcPr>
          <w:p>
            <w:r>
              <w:rPr>
                <w:b/>
                <w:sz w:val="14"/>
              </w:rPr>
              <w:t>std</w:t>
            </w:r>
          </w:p>
        </w:tc>
        <w:tc>
          <w:tcPr>
            <w:tcW w:type="dxa" w:w="828"/>
          </w:tcPr>
          <w:p>
            <w:r>
              <w:rPr>
                <w:b/>
                <w:sz w:val="14"/>
              </w:rPr>
              <w:t>min</w:t>
            </w:r>
          </w:p>
        </w:tc>
        <w:tc>
          <w:tcPr>
            <w:tcW w:type="dxa" w:w="828"/>
          </w:tcPr>
          <w:p>
            <w:r>
              <w:rPr>
                <w:b/>
                <w:sz w:val="14"/>
              </w:rPr>
              <w:t>25%</w:t>
            </w:r>
          </w:p>
        </w:tc>
        <w:tc>
          <w:tcPr>
            <w:tcW w:type="dxa" w:w="828"/>
          </w:tcPr>
          <w:p>
            <w:r>
              <w:rPr>
                <w:b/>
                <w:sz w:val="14"/>
              </w:rPr>
              <w:t>50%</w:t>
            </w:r>
          </w:p>
        </w:tc>
        <w:tc>
          <w:tcPr>
            <w:tcW w:type="dxa" w:w="828"/>
          </w:tcPr>
          <w:p>
            <w:r>
              <w:rPr>
                <w:b/>
                <w:sz w:val="14"/>
              </w:rPr>
              <w:t>75%</w:t>
            </w:r>
          </w:p>
        </w:tc>
        <w:tc>
          <w:tcPr>
            <w:tcW w:type="dxa" w:w="828"/>
          </w:tcPr>
          <w:p>
            <w:r>
              <w:rPr>
                <w:b/>
                <w:sz w:val="14"/>
              </w:rPr>
              <w:t>max</w:t>
            </w:r>
          </w:p>
        </w:tc>
        <w:tc>
          <w:tcPr>
            <w:tcW w:type="dxa" w:w="828"/>
          </w:tcPr>
          <w:p>
            <w:r>
              <w:rPr>
                <w:b/>
                <w:sz w:val="14"/>
              </w:rPr>
              <w:t>missing_count</w:t>
            </w:r>
          </w:p>
        </w:tc>
        <w:tc>
          <w:tcPr>
            <w:tcW w:type="dxa" w:w="828"/>
          </w:tcPr>
          <w:p>
            <w:r>
              <w:rPr>
                <w:b/>
                <w:sz w:val="14"/>
              </w:rPr>
              <w:t>missing_rate_pct</w:t>
            </w:r>
          </w:p>
        </w:tc>
        <w:tc>
          <w:tcPr>
            <w:tcW w:type="dxa" w:w="828"/>
          </w:tcPr>
          <w:p>
            <w:r>
              <w:rPr>
                <w:b/>
                <w:sz w:val="14"/>
              </w:rPr>
              <w:t>valid_count</w:t>
            </w:r>
          </w:p>
        </w:tc>
      </w:tr>
      <w:tr>
        <w:tc>
          <w:tcPr>
            <w:tcW w:type="dxa" w:w="828"/>
            <w:vAlign w:val="center"/>
          </w:tcPr>
          <w:p>
            <w:r>
              <w:rPr>
                <w:sz w:val="14"/>
              </w:rPr>
              <w:t>BTC</w:t>
            </w:r>
          </w:p>
        </w:tc>
        <w:tc>
          <w:tcPr>
            <w:tcW w:type="dxa" w:w="828"/>
            <w:vAlign w:val="center"/>
          </w:tcPr>
          <w:p>
            <w:r>
              <w:rPr>
                <w:sz w:val="14"/>
              </w:rPr>
              <w:t>2922.0</w:t>
            </w:r>
          </w:p>
        </w:tc>
        <w:tc>
          <w:tcPr>
            <w:tcW w:type="dxa" w:w="828"/>
            <w:vAlign w:val="center"/>
          </w:tcPr>
          <w:p>
            <w:r>
              <w:rPr>
                <w:sz w:val="14"/>
              </w:rPr>
              <w:t>37273.8791981827</w:t>
            </w:r>
          </w:p>
        </w:tc>
        <w:tc>
          <w:tcPr>
            <w:tcW w:type="dxa" w:w="828"/>
            <w:vAlign w:val="center"/>
          </w:tcPr>
          <w:p>
            <w:r>
              <w:rPr>
                <w:sz w:val="14"/>
              </w:rPr>
              <w:t>32214.2887783467</w:t>
            </w:r>
          </w:p>
        </w:tc>
        <w:tc>
          <w:tcPr>
            <w:tcW w:type="dxa" w:w="828"/>
            <w:vAlign w:val="center"/>
          </w:tcPr>
          <w:p>
            <w:r>
              <w:rPr>
                <w:sz w:val="14"/>
              </w:rPr>
              <w:t>3236.76171875</w:t>
            </w:r>
          </w:p>
        </w:tc>
        <w:tc>
          <w:tcPr>
            <w:tcW w:type="dxa" w:w="828"/>
            <w:vAlign w:val="center"/>
          </w:tcPr>
          <w:p>
            <w:r>
              <w:rPr>
                <w:sz w:val="14"/>
              </w:rPr>
              <w:t>9475.868408203123</w:t>
            </w:r>
          </w:p>
        </w:tc>
        <w:tc>
          <w:tcPr>
            <w:tcW w:type="dxa" w:w="828"/>
            <w:vAlign w:val="center"/>
          </w:tcPr>
          <w:p>
            <w:r>
              <w:rPr>
                <w:sz w:val="14"/>
              </w:rPr>
              <w:t>27334.9375</w:t>
            </w:r>
          </w:p>
        </w:tc>
        <w:tc>
          <w:tcPr>
            <w:tcW w:type="dxa" w:w="828"/>
            <w:vAlign w:val="center"/>
          </w:tcPr>
          <w:p>
            <w:r>
              <w:rPr>
                <w:sz w:val="14"/>
              </w:rPr>
              <w:t>57418.2802734375</w:t>
            </w:r>
          </w:p>
        </w:tc>
        <w:tc>
          <w:tcPr>
            <w:tcW w:type="dxa" w:w="828"/>
            <w:vAlign w:val="center"/>
          </w:tcPr>
          <w:p>
            <w:r>
              <w:rPr>
                <w:sz w:val="14"/>
              </w:rPr>
              <w:t>124752.53125</w:t>
            </w:r>
          </w:p>
        </w:tc>
        <w:tc>
          <w:tcPr>
            <w:tcW w:type="dxa" w:w="828"/>
            <w:vAlign w:val="center"/>
          </w:tcPr>
          <w:p>
            <w:r>
              <w:rPr>
                <w:sz w:val="14"/>
              </w:rPr>
              <w:t>0</w:t>
            </w:r>
          </w:p>
        </w:tc>
        <w:tc>
          <w:tcPr>
            <w:tcW w:type="dxa" w:w="828"/>
            <w:vAlign w:val="center"/>
          </w:tcPr>
          <w:p>
            <w:r>
              <w:rPr>
                <w:sz w:val="14"/>
              </w:rPr>
              <w:t>0.0</w:t>
            </w:r>
          </w:p>
        </w:tc>
        <w:tc>
          <w:tcPr>
            <w:tcW w:type="dxa" w:w="828"/>
            <w:vAlign w:val="center"/>
          </w:tcPr>
          <w:p>
            <w:r>
              <w:rPr>
                <w:sz w:val="14"/>
              </w:rPr>
              <w:t>2922</w:t>
            </w:r>
          </w:p>
        </w:tc>
      </w:tr>
      <w:tr>
        <w:tc>
          <w:tcPr>
            <w:tcW w:type="dxa" w:w="828"/>
            <w:vAlign w:val="center"/>
          </w:tcPr>
          <w:p>
            <w:r>
              <w:rPr>
                <w:sz w:val="14"/>
              </w:rPr>
              <w:t>ETH</w:t>
            </w:r>
          </w:p>
        </w:tc>
        <w:tc>
          <w:tcPr>
            <w:tcW w:type="dxa" w:w="828"/>
            <w:vAlign w:val="center"/>
          </w:tcPr>
          <w:p>
            <w:r>
              <w:rPr>
                <w:sz w:val="14"/>
              </w:rPr>
              <w:t>2922.0</w:t>
            </w:r>
          </w:p>
        </w:tc>
        <w:tc>
          <w:tcPr>
            <w:tcW w:type="dxa" w:w="828"/>
            <w:vAlign w:val="center"/>
          </w:tcPr>
          <w:p>
            <w:r>
              <w:rPr>
                <w:sz w:val="14"/>
              </w:rPr>
              <w:t>1705.6532005842707</w:t>
            </w:r>
          </w:p>
        </w:tc>
        <w:tc>
          <w:tcPr>
            <w:tcW w:type="dxa" w:w="828"/>
            <w:vAlign w:val="center"/>
          </w:tcPr>
          <w:p>
            <w:r>
              <w:rPr>
                <w:sz w:val="14"/>
              </w:rPr>
              <w:t>1297.9880509250977</w:t>
            </w:r>
          </w:p>
        </w:tc>
        <w:tc>
          <w:tcPr>
            <w:tcW w:type="dxa" w:w="828"/>
            <w:vAlign w:val="center"/>
          </w:tcPr>
          <w:p>
            <w:r>
              <w:rPr>
                <w:sz w:val="14"/>
              </w:rPr>
              <w:t>84.30829620361328</w:t>
            </w:r>
          </w:p>
        </w:tc>
        <w:tc>
          <w:tcPr>
            <w:tcW w:type="dxa" w:w="828"/>
            <w:vAlign w:val="center"/>
          </w:tcPr>
          <w:p>
            <w:r>
              <w:rPr>
                <w:sz w:val="14"/>
              </w:rPr>
              <w:t>347.23046875</w:t>
            </w:r>
          </w:p>
        </w:tc>
        <w:tc>
          <w:tcPr>
            <w:tcW w:type="dxa" w:w="828"/>
            <w:vAlign w:val="center"/>
          </w:tcPr>
          <w:p>
            <w:r>
              <w:rPr>
                <w:sz w:val="14"/>
              </w:rPr>
              <w:t>1663.0999145507812</w:t>
            </w:r>
          </w:p>
        </w:tc>
        <w:tc>
          <w:tcPr>
            <w:tcW w:type="dxa" w:w="828"/>
            <w:vAlign w:val="center"/>
          </w:tcPr>
          <w:p>
            <w:r>
              <w:rPr>
                <w:sz w:val="14"/>
              </w:rPr>
              <w:t>2694.624755859375</w:t>
            </w:r>
          </w:p>
        </w:tc>
        <w:tc>
          <w:tcPr>
            <w:tcW w:type="dxa" w:w="828"/>
            <w:vAlign w:val="center"/>
          </w:tcPr>
          <w:p>
            <w:r>
              <w:rPr>
                <w:sz w:val="14"/>
              </w:rPr>
              <w:t>4831.3486328125</w:t>
            </w:r>
          </w:p>
        </w:tc>
        <w:tc>
          <w:tcPr>
            <w:tcW w:type="dxa" w:w="828"/>
            <w:vAlign w:val="center"/>
          </w:tcPr>
          <w:p>
            <w:r>
              <w:rPr>
                <w:sz w:val="14"/>
              </w:rPr>
              <w:t>0</w:t>
            </w:r>
          </w:p>
        </w:tc>
        <w:tc>
          <w:tcPr>
            <w:tcW w:type="dxa" w:w="828"/>
            <w:vAlign w:val="center"/>
          </w:tcPr>
          <w:p>
            <w:r>
              <w:rPr>
                <w:sz w:val="14"/>
              </w:rPr>
              <w:t>0.0</w:t>
            </w:r>
          </w:p>
        </w:tc>
        <w:tc>
          <w:tcPr>
            <w:tcW w:type="dxa" w:w="828"/>
            <w:vAlign w:val="center"/>
          </w:tcPr>
          <w:p>
            <w:r>
              <w:rPr>
                <w:sz w:val="14"/>
              </w:rPr>
              <w:t>2922</w:t>
            </w:r>
          </w:p>
        </w:tc>
      </w:tr>
      <w:tr>
        <w:tc>
          <w:tcPr>
            <w:tcW w:type="dxa" w:w="828"/>
            <w:vAlign w:val="center"/>
          </w:tcPr>
          <w:p>
            <w:r>
              <w:rPr>
                <w:sz w:val="14"/>
              </w:rPr>
              <w:t>US2Y</w:t>
            </w:r>
          </w:p>
        </w:tc>
        <w:tc>
          <w:tcPr>
            <w:tcW w:type="dxa" w:w="828"/>
            <w:vAlign w:val="center"/>
          </w:tcPr>
          <w:p>
            <w:r>
              <w:rPr>
                <w:sz w:val="14"/>
              </w:rPr>
              <w:t>1999.0</w:t>
            </w:r>
          </w:p>
        </w:tc>
        <w:tc>
          <w:tcPr>
            <w:tcW w:type="dxa" w:w="828"/>
            <w:vAlign w:val="center"/>
          </w:tcPr>
          <w:p>
            <w:r>
              <w:rPr>
                <w:sz w:val="14"/>
              </w:rPr>
              <w:t>2.6098199099549775</w:t>
            </w:r>
          </w:p>
        </w:tc>
        <w:tc>
          <w:tcPr>
            <w:tcW w:type="dxa" w:w="828"/>
            <w:vAlign w:val="center"/>
          </w:tcPr>
          <w:p>
            <w:r>
              <w:rPr>
                <w:sz w:val="14"/>
              </w:rPr>
              <w:t>1.6409110752080764</w:t>
            </w:r>
          </w:p>
        </w:tc>
        <w:tc>
          <w:tcPr>
            <w:tcW w:type="dxa" w:w="828"/>
            <w:vAlign w:val="center"/>
          </w:tcPr>
          <w:p>
            <w:r>
              <w:rPr>
                <w:sz w:val="14"/>
              </w:rPr>
              <w:t>0.09</w:t>
            </w:r>
          </w:p>
        </w:tc>
        <w:tc>
          <w:tcPr>
            <w:tcW w:type="dxa" w:w="828"/>
            <w:vAlign w:val="center"/>
          </w:tcPr>
          <w:p>
            <w:r>
              <w:rPr>
                <w:sz w:val="14"/>
              </w:rPr>
              <w:t>1.39</w:t>
            </w:r>
          </w:p>
        </w:tc>
        <w:tc>
          <w:tcPr>
            <w:tcW w:type="dxa" w:w="828"/>
            <w:vAlign w:val="center"/>
          </w:tcPr>
          <w:p>
            <w:r>
              <w:rPr>
                <w:sz w:val="14"/>
              </w:rPr>
              <w:t>2.63</w:t>
            </w:r>
          </w:p>
        </w:tc>
        <w:tc>
          <w:tcPr>
            <w:tcW w:type="dxa" w:w="828"/>
            <w:vAlign w:val="center"/>
          </w:tcPr>
          <w:p>
            <w:r>
              <w:rPr>
                <w:sz w:val="14"/>
              </w:rPr>
              <w:t>4.11</w:t>
            </w:r>
          </w:p>
        </w:tc>
        <w:tc>
          <w:tcPr>
            <w:tcW w:type="dxa" w:w="828"/>
            <w:vAlign w:val="center"/>
          </w:tcPr>
          <w:p>
            <w:r>
              <w:rPr>
                <w:sz w:val="14"/>
              </w:rPr>
              <w:t>5.19</w:t>
            </w:r>
          </w:p>
        </w:tc>
        <w:tc>
          <w:tcPr>
            <w:tcW w:type="dxa" w:w="828"/>
            <w:vAlign w:val="center"/>
          </w:tcPr>
          <w:p>
            <w:r>
              <w:rPr>
                <w:sz w:val="14"/>
              </w:rPr>
              <w:t>923</w:t>
            </w:r>
          </w:p>
        </w:tc>
        <w:tc>
          <w:tcPr>
            <w:tcW w:type="dxa" w:w="828"/>
            <w:vAlign w:val="center"/>
          </w:tcPr>
          <w:p>
            <w:r>
              <w:rPr>
                <w:sz w:val="14"/>
              </w:rPr>
              <w:t>31.587953456536617</w:t>
            </w:r>
          </w:p>
        </w:tc>
        <w:tc>
          <w:tcPr>
            <w:tcW w:type="dxa" w:w="828"/>
            <w:vAlign w:val="center"/>
          </w:tcPr>
          <w:p>
            <w:r>
              <w:rPr>
                <w:sz w:val="14"/>
              </w:rPr>
              <w:t>1999</w:t>
            </w:r>
          </w:p>
        </w:tc>
      </w:tr>
      <w:tr>
        <w:tc>
          <w:tcPr>
            <w:tcW w:type="dxa" w:w="828"/>
            <w:vAlign w:val="center"/>
          </w:tcPr>
          <w:p>
            <w:r>
              <w:rPr>
                <w:sz w:val="14"/>
              </w:rPr>
              <w:t>DXY</w:t>
            </w:r>
          </w:p>
        </w:tc>
        <w:tc>
          <w:tcPr>
            <w:tcW w:type="dxa" w:w="828"/>
            <w:vAlign w:val="center"/>
          </w:tcPr>
          <w:p>
            <w:r>
              <w:rPr>
                <w:sz w:val="14"/>
              </w:rPr>
              <w:t>2013.0</w:t>
            </w:r>
          </w:p>
        </w:tc>
        <w:tc>
          <w:tcPr>
            <w:tcW w:type="dxa" w:w="828"/>
            <w:vAlign w:val="center"/>
          </w:tcPr>
          <w:p>
            <w:r>
              <w:rPr>
                <w:sz w:val="14"/>
              </w:rPr>
              <w:t>98.96669156434106</w:t>
            </w:r>
          </w:p>
        </w:tc>
        <w:tc>
          <w:tcPr>
            <w:tcW w:type="dxa" w:w="828"/>
            <w:vAlign w:val="center"/>
          </w:tcPr>
          <w:p>
            <w:r>
              <w:rPr>
                <w:sz w:val="14"/>
              </w:rPr>
              <w:t>5.33206511982467</w:t>
            </w:r>
          </w:p>
        </w:tc>
        <w:tc>
          <w:tcPr>
            <w:tcW w:type="dxa" w:w="828"/>
            <w:vAlign w:val="center"/>
          </w:tcPr>
          <w:p>
            <w:r>
              <w:rPr>
                <w:sz w:val="14"/>
              </w:rPr>
              <w:t>88.58999633789062</w:t>
            </w:r>
          </w:p>
        </w:tc>
        <w:tc>
          <w:tcPr>
            <w:tcW w:type="dxa" w:w="828"/>
            <w:vAlign w:val="center"/>
          </w:tcPr>
          <w:p>
            <w:r>
              <w:rPr>
                <w:sz w:val="14"/>
              </w:rPr>
              <w:t>95.13999938964844</w:t>
            </w:r>
          </w:p>
        </w:tc>
        <w:tc>
          <w:tcPr>
            <w:tcW w:type="dxa" w:w="828"/>
            <w:vAlign w:val="center"/>
          </w:tcPr>
          <w:p>
            <w:r>
              <w:rPr>
                <w:sz w:val="14"/>
              </w:rPr>
              <w:t>98.26000213623048</w:t>
            </w:r>
          </w:p>
        </w:tc>
        <w:tc>
          <w:tcPr>
            <w:tcW w:type="dxa" w:w="828"/>
            <w:vAlign w:val="center"/>
          </w:tcPr>
          <w:p>
            <w:r>
              <w:rPr>
                <w:sz w:val="14"/>
              </w:rPr>
              <w:t>103.43000030517578</w:t>
            </w:r>
          </w:p>
        </w:tc>
        <w:tc>
          <w:tcPr>
            <w:tcW w:type="dxa" w:w="828"/>
            <w:vAlign w:val="center"/>
          </w:tcPr>
          <w:p>
            <w:r>
              <w:rPr>
                <w:sz w:val="14"/>
              </w:rPr>
              <w:t>114.11000061035156</w:t>
            </w:r>
          </w:p>
        </w:tc>
        <w:tc>
          <w:tcPr>
            <w:tcW w:type="dxa" w:w="828"/>
            <w:vAlign w:val="center"/>
          </w:tcPr>
          <w:p>
            <w:r>
              <w:rPr>
                <w:sz w:val="14"/>
              </w:rPr>
              <w:t>909</w:t>
            </w:r>
          </w:p>
        </w:tc>
        <w:tc>
          <w:tcPr>
            <w:tcW w:type="dxa" w:w="828"/>
            <w:vAlign w:val="center"/>
          </w:tcPr>
          <w:p>
            <w:r>
              <w:rPr>
                <w:sz w:val="14"/>
              </w:rPr>
              <w:t>31.108829568788497</w:t>
            </w:r>
          </w:p>
        </w:tc>
        <w:tc>
          <w:tcPr>
            <w:tcW w:type="dxa" w:w="828"/>
            <w:vAlign w:val="center"/>
          </w:tcPr>
          <w:p>
            <w:r>
              <w:rPr>
                <w:sz w:val="14"/>
              </w:rPr>
              <w:t>2013</w:t>
            </w:r>
          </w:p>
        </w:tc>
      </w:tr>
      <w:tr>
        <w:tc>
          <w:tcPr>
            <w:tcW w:type="dxa" w:w="828"/>
            <w:vAlign w:val="center"/>
          </w:tcPr>
          <w:p>
            <w:r>
              <w:rPr>
                <w:sz w:val="14"/>
              </w:rPr>
              <w:t>VIX</w:t>
            </w:r>
          </w:p>
        </w:tc>
        <w:tc>
          <w:tcPr>
            <w:tcW w:type="dxa" w:w="828"/>
            <w:vAlign w:val="center"/>
          </w:tcPr>
          <w:p>
            <w:r>
              <w:rPr>
                <w:sz w:val="14"/>
              </w:rPr>
              <w:t>2011.0</w:t>
            </w:r>
          </w:p>
        </w:tc>
        <w:tc>
          <w:tcPr>
            <w:tcW w:type="dxa" w:w="828"/>
            <w:vAlign w:val="center"/>
          </w:tcPr>
          <w:p>
            <w:r>
              <w:rPr>
                <w:sz w:val="14"/>
              </w:rPr>
              <w:t>19.756752871566007</w:t>
            </w:r>
          </w:p>
        </w:tc>
        <w:tc>
          <w:tcPr>
            <w:tcW w:type="dxa" w:w="828"/>
            <w:vAlign w:val="center"/>
          </w:tcPr>
          <w:p>
            <w:r>
              <w:rPr>
                <w:sz w:val="14"/>
              </w:rPr>
              <w:t>7.460941790279774</w:t>
            </w:r>
          </w:p>
        </w:tc>
        <w:tc>
          <w:tcPr>
            <w:tcW w:type="dxa" w:w="828"/>
            <w:vAlign w:val="center"/>
          </w:tcPr>
          <w:p>
            <w:r>
              <w:rPr>
                <w:sz w:val="14"/>
              </w:rPr>
              <w:t>9.149999618530272</w:t>
            </w:r>
          </w:p>
        </w:tc>
        <w:tc>
          <w:tcPr>
            <w:tcW w:type="dxa" w:w="828"/>
            <w:vAlign w:val="center"/>
          </w:tcPr>
          <w:p>
            <w:r>
              <w:rPr>
                <w:sz w:val="14"/>
              </w:rPr>
              <w:t>14.824999809265138</w:t>
            </w:r>
          </w:p>
        </w:tc>
        <w:tc>
          <w:tcPr>
            <w:tcW w:type="dxa" w:w="828"/>
            <w:vAlign w:val="center"/>
          </w:tcPr>
          <w:p>
            <w:r>
              <w:rPr>
                <w:sz w:val="14"/>
              </w:rPr>
              <w:t>17.8799991607666</w:t>
            </w:r>
          </w:p>
        </w:tc>
        <w:tc>
          <w:tcPr>
            <w:tcW w:type="dxa" w:w="828"/>
            <w:vAlign w:val="center"/>
          </w:tcPr>
          <w:p>
            <w:r>
              <w:rPr>
                <w:sz w:val="14"/>
              </w:rPr>
              <w:t>22.559999465942383</w:t>
            </w:r>
          </w:p>
        </w:tc>
        <w:tc>
          <w:tcPr>
            <w:tcW w:type="dxa" w:w="828"/>
            <w:vAlign w:val="center"/>
          </w:tcPr>
          <w:p>
            <w:r>
              <w:rPr>
                <w:sz w:val="14"/>
              </w:rPr>
              <w:t>82.69000244140625</w:t>
            </w:r>
          </w:p>
        </w:tc>
        <w:tc>
          <w:tcPr>
            <w:tcW w:type="dxa" w:w="828"/>
            <w:vAlign w:val="center"/>
          </w:tcPr>
          <w:p>
            <w:r>
              <w:rPr>
                <w:sz w:val="14"/>
              </w:rPr>
              <w:t>911</w:t>
            </w:r>
          </w:p>
        </w:tc>
        <w:tc>
          <w:tcPr>
            <w:tcW w:type="dxa" w:w="828"/>
            <w:vAlign w:val="center"/>
          </w:tcPr>
          <w:p>
            <w:r>
              <w:rPr>
                <w:sz w:val="14"/>
              </w:rPr>
              <w:t>31.177275838466805</w:t>
            </w:r>
          </w:p>
        </w:tc>
        <w:tc>
          <w:tcPr>
            <w:tcW w:type="dxa" w:w="828"/>
            <w:vAlign w:val="center"/>
          </w:tcPr>
          <w:p>
            <w:r>
              <w:rPr>
                <w:sz w:val="14"/>
              </w:rPr>
              <w:t>2011</w:t>
            </w:r>
          </w:p>
        </w:tc>
      </w:tr>
      <w:tr>
        <w:tc>
          <w:tcPr>
            <w:tcW w:type="dxa" w:w="828"/>
            <w:vAlign w:val="center"/>
          </w:tcPr>
          <w:p>
            <w:r>
              <w:rPr>
                <w:sz w:val="14"/>
              </w:rPr>
              <w:t>BTC_log_return_pct</w:t>
            </w:r>
          </w:p>
        </w:tc>
        <w:tc>
          <w:tcPr>
            <w:tcW w:type="dxa" w:w="828"/>
            <w:vAlign w:val="center"/>
          </w:tcPr>
          <w:p>
            <w:r>
              <w:rPr>
                <w:sz w:val="14"/>
              </w:rPr>
              <w:t>2921.0</w:t>
            </w:r>
          </w:p>
        </w:tc>
        <w:tc>
          <w:tcPr>
            <w:tcW w:type="dxa" w:w="828"/>
            <w:vAlign w:val="center"/>
          </w:tcPr>
          <w:p>
            <w:r>
              <w:rPr>
                <w:sz w:val="14"/>
              </w:rPr>
              <w:t>0.0635903050919752</w:t>
            </w:r>
          </w:p>
        </w:tc>
        <w:tc>
          <w:tcPr>
            <w:tcW w:type="dxa" w:w="828"/>
            <w:vAlign w:val="center"/>
          </w:tcPr>
          <w:p>
            <w:r>
              <w:rPr>
                <w:sz w:val="14"/>
              </w:rPr>
              <w:t>3.425142882839632</w:t>
            </w:r>
          </w:p>
        </w:tc>
        <w:tc>
          <w:tcPr>
            <w:tcW w:type="dxa" w:w="828"/>
            <w:vAlign w:val="center"/>
          </w:tcPr>
          <w:p>
            <w:r>
              <w:rPr>
                <w:sz w:val="14"/>
              </w:rPr>
              <w:t>-46.4730175339773</w:t>
            </w:r>
          </w:p>
        </w:tc>
        <w:tc>
          <w:tcPr>
            <w:tcW w:type="dxa" w:w="828"/>
            <w:vAlign w:val="center"/>
          </w:tcPr>
          <w:p>
            <w:r>
              <w:rPr>
                <w:sz w:val="14"/>
              </w:rPr>
              <w:t>-1.3518646577317168</w:t>
            </w:r>
          </w:p>
        </w:tc>
        <w:tc>
          <w:tcPr>
            <w:tcW w:type="dxa" w:w="828"/>
            <w:vAlign w:val="center"/>
          </w:tcPr>
          <w:p>
            <w:r>
              <w:rPr>
                <w:sz w:val="14"/>
              </w:rPr>
              <w:t>0.0741215667556981</w:t>
            </w:r>
          </w:p>
        </w:tc>
        <w:tc>
          <w:tcPr>
            <w:tcW w:type="dxa" w:w="828"/>
            <w:vAlign w:val="center"/>
          </w:tcPr>
          <w:p>
            <w:r>
              <w:rPr>
                <w:sz w:val="14"/>
              </w:rPr>
              <w:t>1.5173852958685845</w:t>
            </w:r>
          </w:p>
        </w:tc>
        <w:tc>
          <w:tcPr>
            <w:tcW w:type="dxa" w:w="828"/>
            <w:vAlign w:val="center"/>
          </w:tcPr>
          <w:p>
            <w:r>
              <w:rPr>
                <w:sz w:val="14"/>
              </w:rPr>
              <w:t>17.18205618881233</w:t>
            </w:r>
          </w:p>
        </w:tc>
        <w:tc>
          <w:tcPr>
            <w:tcW w:type="dxa" w:w="828"/>
            <w:vAlign w:val="center"/>
          </w:tcPr>
          <w:p>
            <w:r>
              <w:rPr>
                <w:sz w:val="14"/>
              </w:rPr>
              <w:t>1</w:t>
            </w:r>
          </w:p>
        </w:tc>
        <w:tc>
          <w:tcPr>
            <w:tcW w:type="dxa" w:w="828"/>
            <w:vAlign w:val="center"/>
          </w:tcPr>
          <w:p>
            <w:r>
              <w:rPr>
                <w:sz w:val="14"/>
              </w:rPr>
              <w:t>0.0342231348391512</w:t>
            </w:r>
          </w:p>
        </w:tc>
        <w:tc>
          <w:tcPr>
            <w:tcW w:type="dxa" w:w="828"/>
            <w:vAlign w:val="center"/>
          </w:tcPr>
          <w:p>
            <w:r>
              <w:rPr>
                <w:sz w:val="14"/>
              </w:rPr>
              <w:t>2921</w:t>
            </w:r>
          </w:p>
        </w:tc>
      </w:tr>
      <w:tr>
        <w:tc>
          <w:tcPr>
            <w:tcW w:type="dxa" w:w="828"/>
            <w:vAlign w:val="center"/>
          </w:tcPr>
          <w:p>
            <w:r>
              <w:rPr>
                <w:sz w:val="14"/>
              </w:rPr>
              <w:t>ETH_log_return_pct</w:t>
            </w:r>
          </w:p>
        </w:tc>
        <w:tc>
          <w:tcPr>
            <w:tcW w:type="dxa" w:w="828"/>
            <w:vAlign w:val="center"/>
          </w:tcPr>
          <w:p>
            <w:r>
              <w:rPr>
                <w:sz w:val="14"/>
              </w:rPr>
              <w:t>2921.0</w:t>
            </w:r>
          </w:p>
        </w:tc>
        <w:tc>
          <w:tcPr>
            <w:tcW w:type="dxa" w:w="828"/>
            <w:vAlign w:val="center"/>
          </w:tcPr>
          <w:p>
            <w:r>
              <w:rPr>
                <w:sz w:val="14"/>
              </w:rPr>
              <w:t>0.0460631560130479</w:t>
            </w:r>
          </w:p>
        </w:tc>
        <w:tc>
          <w:tcPr>
            <w:tcW w:type="dxa" w:w="828"/>
            <w:vAlign w:val="center"/>
          </w:tcPr>
          <w:p>
            <w:r>
              <w:rPr>
                <w:sz w:val="14"/>
              </w:rPr>
              <w:t>4.497714078084061</w:t>
            </w:r>
          </w:p>
        </w:tc>
        <w:tc>
          <w:tcPr>
            <w:tcW w:type="dxa" w:w="828"/>
            <w:vAlign w:val="center"/>
          </w:tcPr>
          <w:p>
            <w:r>
              <w:rPr>
                <w:sz w:val="14"/>
              </w:rPr>
              <w:t>-55.073174382201096</w:t>
            </w:r>
          </w:p>
        </w:tc>
        <w:tc>
          <w:tcPr>
            <w:tcW w:type="dxa" w:w="828"/>
            <w:vAlign w:val="center"/>
          </w:tcPr>
          <w:p>
            <w:r>
              <w:rPr>
                <w:sz w:val="14"/>
              </w:rPr>
              <w:t>-1.9119088823289987</w:t>
            </w:r>
          </w:p>
        </w:tc>
        <w:tc>
          <w:tcPr>
            <w:tcW w:type="dxa" w:w="828"/>
            <w:vAlign w:val="center"/>
          </w:tcPr>
          <w:p>
            <w:r>
              <w:rPr>
                <w:sz w:val="14"/>
              </w:rPr>
              <w:t>0.0587892973616629</w:t>
            </w:r>
          </w:p>
        </w:tc>
        <w:tc>
          <w:tcPr>
            <w:tcW w:type="dxa" w:w="828"/>
            <w:vAlign w:val="center"/>
          </w:tcPr>
          <w:p>
            <w:r>
              <w:rPr>
                <w:sz w:val="14"/>
              </w:rPr>
              <w:t>2.122150798980925</w:t>
            </w:r>
          </w:p>
        </w:tc>
        <w:tc>
          <w:tcPr>
            <w:tcW w:type="dxa" w:w="828"/>
            <w:vAlign w:val="center"/>
          </w:tcPr>
          <w:p>
            <w:r>
              <w:rPr>
                <w:sz w:val="14"/>
              </w:rPr>
              <w:t>23.06952290011305</w:t>
            </w:r>
          </w:p>
        </w:tc>
        <w:tc>
          <w:tcPr>
            <w:tcW w:type="dxa" w:w="828"/>
            <w:vAlign w:val="center"/>
          </w:tcPr>
          <w:p>
            <w:r>
              <w:rPr>
                <w:sz w:val="14"/>
              </w:rPr>
              <w:t>1</w:t>
            </w:r>
          </w:p>
        </w:tc>
        <w:tc>
          <w:tcPr>
            <w:tcW w:type="dxa" w:w="828"/>
            <w:vAlign w:val="center"/>
          </w:tcPr>
          <w:p>
            <w:r>
              <w:rPr>
                <w:sz w:val="14"/>
              </w:rPr>
              <w:t>0.0342231348391512</w:t>
            </w:r>
          </w:p>
        </w:tc>
        <w:tc>
          <w:tcPr>
            <w:tcW w:type="dxa" w:w="828"/>
            <w:vAlign w:val="center"/>
          </w:tcPr>
          <w:p>
            <w:r>
              <w:rPr>
                <w:sz w:val="14"/>
              </w:rPr>
              <w:t>2921</w:t>
            </w:r>
          </w:p>
        </w:tc>
      </w:tr>
      <w:tr>
        <w:tc>
          <w:tcPr>
            <w:tcW w:type="dxa" w:w="828"/>
            <w:vAlign w:val="center"/>
          </w:tcPr>
          <w:p>
            <w:r>
              <w:rPr>
                <w:sz w:val="14"/>
              </w:rPr>
              <w:t>US2Y_change_pp</w:t>
            </w:r>
          </w:p>
        </w:tc>
        <w:tc>
          <w:tcPr>
            <w:tcW w:type="dxa" w:w="828"/>
            <w:vAlign w:val="center"/>
          </w:tcPr>
          <w:p>
            <w:r>
              <w:rPr>
                <w:sz w:val="14"/>
              </w:rPr>
              <w:t>1998.0</w:t>
            </w:r>
          </w:p>
        </w:tc>
        <w:tc>
          <w:tcPr>
            <w:tcW w:type="dxa" w:w="828"/>
            <w:vAlign w:val="center"/>
          </w:tcPr>
          <w:p>
            <w:r>
              <w:rPr>
                <w:sz w:val="14"/>
              </w:rPr>
              <w:t>0.0007757757757757</w:t>
            </w:r>
          </w:p>
        </w:tc>
        <w:tc>
          <w:tcPr>
            <w:tcW w:type="dxa" w:w="828"/>
            <w:vAlign w:val="center"/>
          </w:tcPr>
          <w:p>
            <w:r>
              <w:rPr>
                <w:sz w:val="14"/>
              </w:rPr>
              <w:t>0.057973184395349</w:t>
            </w:r>
          </w:p>
        </w:tc>
        <w:tc>
          <w:tcPr>
            <w:tcW w:type="dxa" w:w="828"/>
            <w:vAlign w:val="center"/>
          </w:tcPr>
          <w:p>
            <w:r>
              <w:rPr>
                <w:sz w:val="14"/>
              </w:rPr>
              <w:t>-0.5699999999999994</w:t>
            </w:r>
          </w:p>
        </w:tc>
        <w:tc>
          <w:tcPr>
            <w:tcW w:type="dxa" w:w="828"/>
            <w:vAlign w:val="center"/>
          </w:tcPr>
          <w:p>
            <w:r>
              <w:rPr>
                <w:sz w:val="14"/>
              </w:rPr>
              <w:t>-0.02</w:t>
            </w:r>
          </w:p>
        </w:tc>
        <w:tc>
          <w:tcPr>
            <w:tcW w:type="dxa" w:w="828"/>
            <w:vAlign w:val="center"/>
          </w:tcPr>
          <w:p>
            <w:r>
              <w:rPr>
                <w:sz w:val="14"/>
              </w:rPr>
              <w:t>0.0</w:t>
            </w:r>
          </w:p>
        </w:tc>
        <w:tc>
          <w:tcPr>
            <w:tcW w:type="dxa" w:w="828"/>
            <w:vAlign w:val="center"/>
          </w:tcPr>
          <w:p>
            <w:r>
              <w:rPr>
                <w:sz w:val="14"/>
              </w:rPr>
              <w:t>0.0299999999999998</w:t>
            </w:r>
          </w:p>
        </w:tc>
        <w:tc>
          <w:tcPr>
            <w:tcW w:type="dxa" w:w="828"/>
            <w:vAlign w:val="center"/>
          </w:tcPr>
          <w:p>
            <w:r>
              <w:rPr>
                <w:sz w:val="14"/>
              </w:rPr>
              <w:t>0.3399999999999998</w:t>
            </w:r>
          </w:p>
        </w:tc>
        <w:tc>
          <w:tcPr>
            <w:tcW w:type="dxa" w:w="828"/>
            <w:vAlign w:val="center"/>
          </w:tcPr>
          <w:p>
            <w:r>
              <w:rPr>
                <w:sz w:val="14"/>
              </w:rPr>
              <w:t>924</w:t>
            </w:r>
          </w:p>
        </w:tc>
        <w:tc>
          <w:tcPr>
            <w:tcW w:type="dxa" w:w="828"/>
            <w:vAlign w:val="center"/>
          </w:tcPr>
          <w:p>
            <w:r>
              <w:rPr>
                <w:sz w:val="14"/>
              </w:rPr>
              <w:t>31.622176591375773</w:t>
            </w:r>
          </w:p>
        </w:tc>
        <w:tc>
          <w:tcPr>
            <w:tcW w:type="dxa" w:w="828"/>
            <w:vAlign w:val="center"/>
          </w:tcPr>
          <w:p>
            <w:r>
              <w:rPr>
                <w:sz w:val="14"/>
              </w:rPr>
              <w:t>1998</w:t>
            </w:r>
          </w:p>
        </w:tc>
      </w:tr>
      <w:tr>
        <w:tc>
          <w:tcPr>
            <w:tcW w:type="dxa" w:w="828"/>
            <w:vAlign w:val="center"/>
          </w:tcPr>
          <w:p>
            <w:r>
              <w:rPr>
                <w:sz w:val="14"/>
              </w:rPr>
              <w:t>US2Y_observation_gap_days</w:t>
            </w:r>
          </w:p>
        </w:tc>
        <w:tc>
          <w:tcPr>
            <w:tcW w:type="dxa" w:w="828"/>
            <w:vAlign w:val="center"/>
          </w:tcPr>
          <w:p>
            <w:r>
              <w:rPr>
                <w:sz w:val="14"/>
              </w:rPr>
              <w:t>1998.0</w:t>
            </w:r>
          </w:p>
        </w:tc>
        <w:tc>
          <w:tcPr>
            <w:tcW w:type="dxa" w:w="828"/>
            <w:vAlign w:val="center"/>
          </w:tcPr>
          <w:p>
            <w:r>
              <w:rPr>
                <w:sz w:val="14"/>
              </w:rPr>
              <w:t>1.4614614614614614</w:t>
            </w:r>
          </w:p>
        </w:tc>
        <w:tc>
          <w:tcPr>
            <w:tcW w:type="dxa" w:w="828"/>
            <w:vAlign w:val="center"/>
          </w:tcPr>
          <w:p>
            <w:r>
              <w:rPr>
                <w:sz w:val="14"/>
              </w:rPr>
              <w:t>0.8901993870416373</w:t>
            </w:r>
          </w:p>
        </w:tc>
        <w:tc>
          <w:tcPr>
            <w:tcW w:type="dxa" w:w="828"/>
            <w:vAlign w:val="center"/>
          </w:tcPr>
          <w:p>
            <w:r>
              <w:rPr>
                <w:sz w:val="14"/>
              </w:rPr>
              <w:t>1.0</w:t>
            </w:r>
          </w:p>
        </w:tc>
        <w:tc>
          <w:tcPr>
            <w:tcW w:type="dxa" w:w="828"/>
            <w:vAlign w:val="center"/>
          </w:tcPr>
          <w:p>
            <w:r>
              <w:rPr>
                <w:sz w:val="14"/>
              </w:rPr>
              <w:t>1.0</w:t>
            </w:r>
          </w:p>
        </w:tc>
        <w:tc>
          <w:tcPr>
            <w:tcW w:type="dxa" w:w="828"/>
            <w:vAlign w:val="center"/>
          </w:tcPr>
          <w:p>
            <w:r>
              <w:rPr>
                <w:sz w:val="14"/>
              </w:rPr>
              <w:t>1.0</w:t>
            </w:r>
          </w:p>
        </w:tc>
        <w:tc>
          <w:tcPr>
            <w:tcW w:type="dxa" w:w="828"/>
            <w:vAlign w:val="center"/>
          </w:tcPr>
          <w:p>
            <w:r>
              <w:rPr>
                <w:sz w:val="14"/>
              </w:rPr>
              <w:t>1.0</w:t>
            </w:r>
          </w:p>
        </w:tc>
        <w:tc>
          <w:tcPr>
            <w:tcW w:type="dxa" w:w="828"/>
            <w:vAlign w:val="center"/>
          </w:tcPr>
          <w:p>
            <w:r>
              <w:rPr>
                <w:sz w:val="14"/>
              </w:rPr>
              <w:t>4.0</w:t>
            </w:r>
          </w:p>
        </w:tc>
        <w:tc>
          <w:tcPr>
            <w:tcW w:type="dxa" w:w="828"/>
            <w:vAlign w:val="center"/>
          </w:tcPr>
          <w:p>
            <w:r>
              <w:rPr>
                <w:sz w:val="14"/>
              </w:rPr>
              <w:t>924</w:t>
            </w:r>
          </w:p>
        </w:tc>
        <w:tc>
          <w:tcPr>
            <w:tcW w:type="dxa" w:w="828"/>
            <w:vAlign w:val="center"/>
          </w:tcPr>
          <w:p>
            <w:r>
              <w:rPr>
                <w:sz w:val="14"/>
              </w:rPr>
              <w:t>31.622176591375773</w:t>
            </w:r>
          </w:p>
        </w:tc>
        <w:tc>
          <w:tcPr>
            <w:tcW w:type="dxa" w:w="828"/>
            <w:vAlign w:val="center"/>
          </w:tcPr>
          <w:p>
            <w:r>
              <w:rPr>
                <w:sz w:val="14"/>
              </w:rPr>
              <w:t>1998</w:t>
            </w:r>
          </w:p>
        </w:tc>
      </w:tr>
      <w:tr>
        <w:tc>
          <w:tcPr>
            <w:tcW w:type="dxa" w:w="828"/>
            <w:vAlign w:val="center"/>
          </w:tcPr>
          <w:p>
            <w:r>
              <w:rPr>
                <w:sz w:val="14"/>
              </w:rPr>
              <w:t>US2Y_observed</w:t>
            </w:r>
          </w:p>
        </w:tc>
        <w:tc>
          <w:tcPr>
            <w:tcW w:type="dxa" w:w="828"/>
            <w:vAlign w:val="center"/>
          </w:tcPr>
          <w:p>
            <w:r>
              <w:rPr>
                <w:sz w:val="14"/>
              </w:rPr>
              <w:t>2922.0</w:t>
            </w:r>
          </w:p>
        </w:tc>
        <w:tc>
          <w:tcPr>
            <w:tcW w:type="dxa" w:w="828"/>
            <w:vAlign w:val="center"/>
          </w:tcPr>
          <w:p>
            <w:r>
              <w:rPr>
                <w:sz w:val="14"/>
              </w:rPr>
              <w:t>0.6841204654346338</w:t>
            </w:r>
          </w:p>
        </w:tc>
        <w:tc>
          <w:tcPr>
            <w:tcW w:type="dxa" w:w="828"/>
            <w:vAlign w:val="center"/>
          </w:tcPr>
          <w:p>
            <w:r>
              <w:rPr>
                <w:sz w:val="14"/>
              </w:rPr>
              <w:t>0.4649447661851189</w:t>
            </w:r>
          </w:p>
        </w:tc>
        <w:tc>
          <w:tcPr>
            <w:tcW w:type="dxa" w:w="828"/>
            <w:vAlign w:val="center"/>
          </w:tcPr>
          <w:p>
            <w:r>
              <w:rPr>
                <w:sz w:val="14"/>
              </w:rPr>
              <w:t>0.0</w:t>
            </w:r>
          </w:p>
        </w:tc>
        <w:tc>
          <w:tcPr>
            <w:tcW w:type="dxa" w:w="828"/>
            <w:vAlign w:val="center"/>
          </w:tcPr>
          <w:p>
            <w:r>
              <w:rPr>
                <w:sz w:val="14"/>
              </w:rPr>
              <w:t>0.0</w:t>
            </w:r>
          </w:p>
        </w:tc>
        <w:tc>
          <w:tcPr>
            <w:tcW w:type="dxa" w:w="828"/>
            <w:vAlign w:val="center"/>
          </w:tcPr>
          <w:p>
            <w:r>
              <w:rPr>
                <w:sz w:val="14"/>
              </w:rPr>
              <w:t>1.0</w:t>
            </w:r>
          </w:p>
        </w:tc>
        <w:tc>
          <w:tcPr>
            <w:tcW w:type="dxa" w:w="828"/>
            <w:vAlign w:val="center"/>
          </w:tcPr>
          <w:p>
            <w:r>
              <w:rPr>
                <w:sz w:val="14"/>
              </w:rPr>
              <w:t>1.0</w:t>
            </w:r>
          </w:p>
        </w:tc>
        <w:tc>
          <w:tcPr>
            <w:tcW w:type="dxa" w:w="828"/>
            <w:vAlign w:val="center"/>
          </w:tcPr>
          <w:p>
            <w:r>
              <w:rPr>
                <w:sz w:val="14"/>
              </w:rPr>
              <w:t>1.0</w:t>
            </w:r>
          </w:p>
        </w:tc>
        <w:tc>
          <w:tcPr>
            <w:tcW w:type="dxa" w:w="828"/>
            <w:vAlign w:val="center"/>
          </w:tcPr>
          <w:p>
            <w:r>
              <w:rPr>
                <w:sz w:val="14"/>
              </w:rPr>
              <w:t>0</w:t>
            </w:r>
          </w:p>
        </w:tc>
        <w:tc>
          <w:tcPr>
            <w:tcW w:type="dxa" w:w="828"/>
            <w:vAlign w:val="center"/>
          </w:tcPr>
          <w:p>
            <w:r>
              <w:rPr>
                <w:sz w:val="14"/>
              </w:rPr>
              <w:t>0.0</w:t>
            </w:r>
          </w:p>
        </w:tc>
        <w:tc>
          <w:tcPr>
            <w:tcW w:type="dxa" w:w="828"/>
            <w:vAlign w:val="center"/>
          </w:tcPr>
          <w:p>
            <w:r>
              <w:rPr>
                <w:sz w:val="14"/>
              </w:rPr>
              <w:t>2922</w:t>
            </w:r>
          </w:p>
        </w:tc>
      </w:tr>
      <w:tr>
        <w:tc>
          <w:tcPr>
            <w:tcW w:type="dxa" w:w="828"/>
            <w:vAlign w:val="center"/>
          </w:tcPr>
          <w:p>
            <w:r>
              <w:rPr>
                <w:sz w:val="14"/>
              </w:rPr>
              <w:t>DXY_log_return_pct</w:t>
            </w:r>
          </w:p>
        </w:tc>
        <w:tc>
          <w:tcPr>
            <w:tcW w:type="dxa" w:w="828"/>
            <w:vAlign w:val="center"/>
          </w:tcPr>
          <w:p>
            <w:r>
              <w:rPr>
                <w:sz w:val="14"/>
              </w:rPr>
              <w:t>2012.0</w:t>
            </w:r>
          </w:p>
        </w:tc>
        <w:tc>
          <w:tcPr>
            <w:tcW w:type="dxa" w:w="828"/>
            <w:vAlign w:val="center"/>
          </w:tcPr>
          <w:p>
            <w:r>
              <w:rPr>
                <w:sz w:val="14"/>
              </w:rPr>
              <w:t>0.0033630089554624</w:t>
            </w:r>
          </w:p>
        </w:tc>
        <w:tc>
          <w:tcPr>
            <w:tcW w:type="dxa" w:w="828"/>
            <w:vAlign w:val="center"/>
          </w:tcPr>
          <w:p>
            <w:r>
              <w:rPr>
                <w:sz w:val="14"/>
              </w:rPr>
              <w:t>0.4215931367061978</w:t>
            </w:r>
          </w:p>
        </w:tc>
        <w:tc>
          <w:tcPr>
            <w:tcW w:type="dxa" w:w="828"/>
            <w:vAlign w:val="center"/>
          </w:tcPr>
          <w:p>
            <w:r>
              <w:rPr>
                <w:sz w:val="14"/>
              </w:rPr>
              <w:t>-2.1394159785777993</w:t>
            </w:r>
          </w:p>
        </w:tc>
        <w:tc>
          <w:tcPr>
            <w:tcW w:type="dxa" w:w="828"/>
            <w:vAlign w:val="center"/>
          </w:tcPr>
          <w:p>
            <w:r>
              <w:rPr>
                <w:sz w:val="14"/>
              </w:rPr>
              <w:t>-0.2450344980423464</w:t>
            </w:r>
          </w:p>
        </w:tc>
        <w:tc>
          <w:tcPr>
            <w:tcW w:type="dxa" w:w="828"/>
            <w:vAlign w:val="center"/>
          </w:tcPr>
          <w:p>
            <w:r>
              <w:rPr>
                <w:sz w:val="14"/>
              </w:rPr>
              <w:t>0.004382865026506</w:t>
            </w:r>
          </w:p>
        </w:tc>
        <w:tc>
          <w:tcPr>
            <w:tcW w:type="dxa" w:w="828"/>
            <w:vAlign w:val="center"/>
          </w:tcPr>
          <w:p>
            <w:r>
              <w:rPr>
                <w:sz w:val="14"/>
              </w:rPr>
              <w:t>0.2504683480021078</w:t>
            </w:r>
          </w:p>
        </w:tc>
        <w:tc>
          <w:tcPr>
            <w:tcW w:type="dxa" w:w="828"/>
            <w:vAlign w:val="center"/>
          </w:tcPr>
          <w:p>
            <w:r>
              <w:rPr>
                <w:sz w:val="14"/>
              </w:rPr>
              <w:t>1.6389464213497955</w:t>
            </w:r>
          </w:p>
        </w:tc>
        <w:tc>
          <w:tcPr>
            <w:tcW w:type="dxa" w:w="828"/>
            <w:vAlign w:val="center"/>
          </w:tcPr>
          <w:p>
            <w:r>
              <w:rPr>
                <w:sz w:val="14"/>
              </w:rPr>
              <w:t>910</w:t>
            </w:r>
          </w:p>
        </w:tc>
        <w:tc>
          <w:tcPr>
            <w:tcW w:type="dxa" w:w="828"/>
            <w:vAlign w:val="center"/>
          </w:tcPr>
          <w:p>
            <w:r>
              <w:rPr>
                <w:sz w:val="14"/>
              </w:rPr>
              <w:t>31.143052703627657</w:t>
            </w:r>
          </w:p>
        </w:tc>
        <w:tc>
          <w:tcPr>
            <w:tcW w:type="dxa" w:w="828"/>
            <w:vAlign w:val="center"/>
          </w:tcPr>
          <w:p>
            <w:r>
              <w:rPr>
                <w:sz w:val="14"/>
              </w:rPr>
              <w:t>2012</w:t>
            </w:r>
          </w:p>
        </w:tc>
      </w:tr>
      <w:tr>
        <w:tc>
          <w:tcPr>
            <w:tcW w:type="dxa" w:w="828"/>
            <w:vAlign w:val="center"/>
          </w:tcPr>
          <w:p>
            <w:r>
              <w:rPr>
                <w:sz w:val="14"/>
              </w:rPr>
              <w:t>DXY_observation_gap_days</w:t>
            </w:r>
          </w:p>
        </w:tc>
        <w:tc>
          <w:tcPr>
            <w:tcW w:type="dxa" w:w="828"/>
            <w:vAlign w:val="center"/>
          </w:tcPr>
          <w:p>
            <w:r>
              <w:rPr>
                <w:sz w:val="14"/>
              </w:rPr>
              <w:t>2012.0</w:t>
            </w:r>
          </w:p>
        </w:tc>
        <w:tc>
          <w:tcPr>
            <w:tcW w:type="dxa" w:w="828"/>
            <w:vAlign w:val="center"/>
          </w:tcPr>
          <w:p>
            <w:r>
              <w:rPr>
                <w:sz w:val="14"/>
              </w:rPr>
              <w:t>1.4512922465208749</w:t>
            </w:r>
          </w:p>
        </w:tc>
        <w:tc>
          <w:tcPr>
            <w:tcW w:type="dxa" w:w="828"/>
            <w:vAlign w:val="center"/>
          </w:tcPr>
          <w:p>
            <w:r>
              <w:rPr>
                <w:sz w:val="14"/>
              </w:rPr>
              <w:t>0.875157623128678</w:t>
            </w:r>
          </w:p>
        </w:tc>
        <w:tc>
          <w:tcPr>
            <w:tcW w:type="dxa" w:w="828"/>
            <w:vAlign w:val="center"/>
          </w:tcPr>
          <w:p>
            <w:r>
              <w:rPr>
                <w:sz w:val="14"/>
              </w:rPr>
              <w:t>1.0</w:t>
            </w:r>
          </w:p>
        </w:tc>
        <w:tc>
          <w:tcPr>
            <w:tcW w:type="dxa" w:w="828"/>
            <w:vAlign w:val="center"/>
          </w:tcPr>
          <w:p>
            <w:r>
              <w:rPr>
                <w:sz w:val="14"/>
              </w:rPr>
              <w:t>1.0</w:t>
            </w:r>
          </w:p>
        </w:tc>
        <w:tc>
          <w:tcPr>
            <w:tcW w:type="dxa" w:w="828"/>
            <w:vAlign w:val="center"/>
          </w:tcPr>
          <w:p>
            <w:r>
              <w:rPr>
                <w:sz w:val="14"/>
              </w:rPr>
              <w:t>1.0</w:t>
            </w:r>
          </w:p>
        </w:tc>
        <w:tc>
          <w:tcPr>
            <w:tcW w:type="dxa" w:w="828"/>
            <w:vAlign w:val="center"/>
          </w:tcPr>
          <w:p>
            <w:r>
              <w:rPr>
                <w:sz w:val="14"/>
              </w:rPr>
              <w:t>1.0</w:t>
            </w:r>
          </w:p>
        </w:tc>
        <w:tc>
          <w:tcPr>
            <w:tcW w:type="dxa" w:w="828"/>
            <w:vAlign w:val="center"/>
          </w:tcPr>
          <w:p>
            <w:r>
              <w:rPr>
                <w:sz w:val="14"/>
              </w:rPr>
              <w:t>4.0</w:t>
            </w:r>
          </w:p>
        </w:tc>
        <w:tc>
          <w:tcPr>
            <w:tcW w:type="dxa" w:w="828"/>
            <w:vAlign w:val="center"/>
          </w:tcPr>
          <w:p>
            <w:r>
              <w:rPr>
                <w:sz w:val="14"/>
              </w:rPr>
              <w:t>910</w:t>
            </w:r>
          </w:p>
        </w:tc>
        <w:tc>
          <w:tcPr>
            <w:tcW w:type="dxa" w:w="828"/>
            <w:vAlign w:val="center"/>
          </w:tcPr>
          <w:p>
            <w:r>
              <w:rPr>
                <w:sz w:val="14"/>
              </w:rPr>
              <w:t>31.143052703627657</w:t>
            </w:r>
          </w:p>
        </w:tc>
        <w:tc>
          <w:tcPr>
            <w:tcW w:type="dxa" w:w="828"/>
            <w:vAlign w:val="center"/>
          </w:tcPr>
          <w:p>
            <w:r>
              <w:rPr>
                <w:sz w:val="14"/>
              </w:rPr>
              <w:t>2012</w:t>
            </w:r>
          </w:p>
        </w:tc>
      </w:tr>
      <w:tr>
        <w:tc>
          <w:tcPr>
            <w:tcW w:type="dxa" w:w="828"/>
            <w:vAlign w:val="center"/>
          </w:tcPr>
          <w:p>
            <w:r>
              <w:rPr>
                <w:sz w:val="14"/>
              </w:rPr>
              <w:t>DXY_observed</w:t>
            </w:r>
          </w:p>
        </w:tc>
        <w:tc>
          <w:tcPr>
            <w:tcW w:type="dxa" w:w="828"/>
            <w:vAlign w:val="center"/>
          </w:tcPr>
          <w:p>
            <w:r>
              <w:rPr>
                <w:sz w:val="14"/>
              </w:rPr>
              <w:t>2922.0</w:t>
            </w:r>
          </w:p>
        </w:tc>
        <w:tc>
          <w:tcPr>
            <w:tcW w:type="dxa" w:w="828"/>
            <w:vAlign w:val="center"/>
          </w:tcPr>
          <w:p>
            <w:r>
              <w:rPr>
                <w:sz w:val="14"/>
              </w:rPr>
              <w:t>0.688911704312115</w:t>
            </w:r>
          </w:p>
        </w:tc>
        <w:tc>
          <w:tcPr>
            <w:tcW w:type="dxa" w:w="828"/>
            <w:vAlign w:val="center"/>
          </w:tcPr>
          <w:p>
            <w:r>
              <w:rPr>
                <w:sz w:val="14"/>
              </w:rPr>
              <w:t>0.4630180746946257</w:t>
            </w:r>
          </w:p>
        </w:tc>
        <w:tc>
          <w:tcPr>
            <w:tcW w:type="dxa" w:w="828"/>
            <w:vAlign w:val="center"/>
          </w:tcPr>
          <w:p>
            <w:r>
              <w:rPr>
                <w:sz w:val="14"/>
              </w:rPr>
              <w:t>0.0</w:t>
            </w:r>
          </w:p>
        </w:tc>
        <w:tc>
          <w:tcPr>
            <w:tcW w:type="dxa" w:w="828"/>
            <w:vAlign w:val="center"/>
          </w:tcPr>
          <w:p>
            <w:r>
              <w:rPr>
                <w:sz w:val="14"/>
              </w:rPr>
              <w:t>0.0</w:t>
            </w:r>
          </w:p>
        </w:tc>
        <w:tc>
          <w:tcPr>
            <w:tcW w:type="dxa" w:w="828"/>
            <w:vAlign w:val="center"/>
          </w:tcPr>
          <w:p>
            <w:r>
              <w:rPr>
                <w:sz w:val="14"/>
              </w:rPr>
              <w:t>1.0</w:t>
            </w:r>
          </w:p>
        </w:tc>
        <w:tc>
          <w:tcPr>
            <w:tcW w:type="dxa" w:w="828"/>
            <w:vAlign w:val="center"/>
          </w:tcPr>
          <w:p>
            <w:r>
              <w:rPr>
                <w:sz w:val="14"/>
              </w:rPr>
              <w:t>1.0</w:t>
            </w:r>
          </w:p>
        </w:tc>
        <w:tc>
          <w:tcPr>
            <w:tcW w:type="dxa" w:w="828"/>
            <w:vAlign w:val="center"/>
          </w:tcPr>
          <w:p>
            <w:r>
              <w:rPr>
                <w:sz w:val="14"/>
              </w:rPr>
              <w:t>1.0</w:t>
            </w:r>
          </w:p>
        </w:tc>
        <w:tc>
          <w:tcPr>
            <w:tcW w:type="dxa" w:w="828"/>
            <w:vAlign w:val="center"/>
          </w:tcPr>
          <w:p>
            <w:r>
              <w:rPr>
                <w:sz w:val="14"/>
              </w:rPr>
              <w:t>0</w:t>
            </w:r>
          </w:p>
        </w:tc>
        <w:tc>
          <w:tcPr>
            <w:tcW w:type="dxa" w:w="828"/>
            <w:vAlign w:val="center"/>
          </w:tcPr>
          <w:p>
            <w:r>
              <w:rPr>
                <w:sz w:val="14"/>
              </w:rPr>
              <w:t>0.0</w:t>
            </w:r>
          </w:p>
        </w:tc>
        <w:tc>
          <w:tcPr>
            <w:tcW w:type="dxa" w:w="828"/>
            <w:vAlign w:val="center"/>
          </w:tcPr>
          <w:p>
            <w:r>
              <w:rPr>
                <w:sz w:val="14"/>
              </w:rPr>
              <w:t>2922</w:t>
            </w:r>
          </w:p>
        </w:tc>
      </w:tr>
      <w:tr>
        <w:tc>
          <w:tcPr>
            <w:tcW w:type="dxa" w:w="828"/>
            <w:vAlign w:val="center"/>
          </w:tcPr>
          <w:p>
            <w:r>
              <w:rPr>
                <w:sz w:val="14"/>
              </w:rPr>
              <w:t>VIX_change_points</w:t>
            </w:r>
          </w:p>
        </w:tc>
        <w:tc>
          <w:tcPr>
            <w:tcW w:type="dxa" w:w="828"/>
            <w:vAlign w:val="center"/>
          </w:tcPr>
          <w:p>
            <w:r>
              <w:rPr>
                <w:sz w:val="14"/>
              </w:rPr>
              <w:t>2010.0</w:t>
            </w:r>
          </w:p>
        </w:tc>
        <w:tc>
          <w:tcPr>
            <w:tcW w:type="dxa" w:w="828"/>
            <w:vAlign w:val="center"/>
          </w:tcPr>
          <w:p>
            <w:r>
              <w:rPr>
                <w:sz w:val="14"/>
              </w:rPr>
              <w:t>0.0025771141052246</w:t>
            </w:r>
          </w:p>
        </w:tc>
        <w:tc>
          <w:tcPr>
            <w:tcW w:type="dxa" w:w="828"/>
            <w:vAlign w:val="center"/>
          </w:tcPr>
          <w:p>
            <w:r>
              <w:rPr>
                <w:sz w:val="14"/>
              </w:rPr>
              <w:t>2.1254925007886323</w:t>
            </w:r>
          </w:p>
        </w:tc>
        <w:tc>
          <w:tcPr>
            <w:tcW w:type="dxa" w:w="828"/>
            <w:vAlign w:val="center"/>
          </w:tcPr>
          <w:p>
            <w:r>
              <w:rPr>
                <w:sz w:val="14"/>
              </w:rPr>
              <w:t>-18.71000289916992</w:t>
            </w:r>
          </w:p>
        </w:tc>
        <w:tc>
          <w:tcPr>
            <w:tcW w:type="dxa" w:w="828"/>
            <w:vAlign w:val="center"/>
          </w:tcPr>
          <w:p>
            <w:r>
              <w:rPr>
                <w:sz w:val="14"/>
              </w:rPr>
              <w:t>-0.8199996948242188</w:t>
            </w:r>
          </w:p>
        </w:tc>
        <w:tc>
          <w:tcPr>
            <w:tcW w:type="dxa" w:w="828"/>
            <w:vAlign w:val="center"/>
          </w:tcPr>
          <w:p>
            <w:r>
              <w:rPr>
                <w:sz w:val="14"/>
              </w:rPr>
              <w:t>-0.1399993896484366</w:t>
            </w:r>
          </w:p>
        </w:tc>
        <w:tc>
          <w:tcPr>
            <w:tcW w:type="dxa" w:w="828"/>
            <w:vAlign w:val="center"/>
          </w:tcPr>
          <w:p>
            <w:r>
              <w:rPr>
                <w:sz w:val="14"/>
              </w:rPr>
              <w:t>0.6199998855590816</w:t>
            </w:r>
          </w:p>
        </w:tc>
        <w:tc>
          <w:tcPr>
            <w:tcW w:type="dxa" w:w="828"/>
            <w:vAlign w:val="center"/>
          </w:tcPr>
          <w:p>
            <w:r>
              <w:rPr>
                <w:sz w:val="14"/>
              </w:rPr>
              <w:t>24.86000061035156</w:t>
            </w:r>
          </w:p>
        </w:tc>
        <w:tc>
          <w:tcPr>
            <w:tcW w:type="dxa" w:w="828"/>
            <w:vAlign w:val="center"/>
          </w:tcPr>
          <w:p>
            <w:r>
              <w:rPr>
                <w:sz w:val="14"/>
              </w:rPr>
              <w:t>912</w:t>
            </w:r>
          </w:p>
        </w:tc>
        <w:tc>
          <w:tcPr>
            <w:tcW w:type="dxa" w:w="828"/>
            <w:vAlign w:val="center"/>
          </w:tcPr>
          <w:p>
            <w:r>
              <w:rPr>
                <w:sz w:val="14"/>
              </w:rPr>
              <w:t>31.211498973305957</w:t>
            </w:r>
          </w:p>
        </w:tc>
        <w:tc>
          <w:tcPr>
            <w:tcW w:type="dxa" w:w="828"/>
            <w:vAlign w:val="center"/>
          </w:tcPr>
          <w:p>
            <w:r>
              <w:rPr>
                <w:sz w:val="14"/>
              </w:rPr>
              <w:t>2010</w:t>
            </w:r>
          </w:p>
        </w:tc>
      </w:tr>
      <w:tr>
        <w:tc>
          <w:tcPr>
            <w:tcW w:type="dxa" w:w="828"/>
            <w:vAlign w:val="center"/>
          </w:tcPr>
          <w:p>
            <w:r>
              <w:rPr>
                <w:sz w:val="14"/>
              </w:rPr>
              <w:t>VIX_observation_gap_days</w:t>
            </w:r>
          </w:p>
        </w:tc>
        <w:tc>
          <w:tcPr>
            <w:tcW w:type="dxa" w:w="828"/>
            <w:vAlign w:val="center"/>
          </w:tcPr>
          <w:p>
            <w:r>
              <w:rPr>
                <w:sz w:val="14"/>
              </w:rPr>
              <w:t>2010.0</w:t>
            </w:r>
          </w:p>
        </w:tc>
        <w:tc>
          <w:tcPr>
            <w:tcW w:type="dxa" w:w="828"/>
            <w:vAlign w:val="center"/>
          </w:tcPr>
          <w:p>
            <w:r>
              <w:rPr>
                <w:sz w:val="14"/>
              </w:rPr>
              <w:t>1.4527363184079602</w:t>
            </w:r>
          </w:p>
        </w:tc>
        <w:tc>
          <w:tcPr>
            <w:tcW w:type="dxa" w:w="828"/>
            <w:vAlign w:val="center"/>
          </w:tcPr>
          <w:p>
            <w:r>
              <w:rPr>
                <w:sz w:val="14"/>
              </w:rPr>
              <w:t>0.8766678480492347</w:t>
            </w:r>
          </w:p>
        </w:tc>
        <w:tc>
          <w:tcPr>
            <w:tcW w:type="dxa" w:w="828"/>
            <w:vAlign w:val="center"/>
          </w:tcPr>
          <w:p>
            <w:r>
              <w:rPr>
                <w:sz w:val="14"/>
              </w:rPr>
              <w:t>1.0</w:t>
            </w:r>
          </w:p>
        </w:tc>
        <w:tc>
          <w:tcPr>
            <w:tcW w:type="dxa" w:w="828"/>
            <w:vAlign w:val="center"/>
          </w:tcPr>
          <w:p>
            <w:r>
              <w:rPr>
                <w:sz w:val="14"/>
              </w:rPr>
              <w:t>1.0</w:t>
            </w:r>
          </w:p>
        </w:tc>
        <w:tc>
          <w:tcPr>
            <w:tcW w:type="dxa" w:w="828"/>
            <w:vAlign w:val="center"/>
          </w:tcPr>
          <w:p>
            <w:r>
              <w:rPr>
                <w:sz w:val="14"/>
              </w:rPr>
              <w:t>1.0</w:t>
            </w:r>
          </w:p>
        </w:tc>
        <w:tc>
          <w:tcPr>
            <w:tcW w:type="dxa" w:w="828"/>
            <w:vAlign w:val="center"/>
          </w:tcPr>
          <w:p>
            <w:r>
              <w:rPr>
                <w:sz w:val="14"/>
              </w:rPr>
              <w:t>1.0</w:t>
            </w:r>
          </w:p>
        </w:tc>
        <w:tc>
          <w:tcPr>
            <w:tcW w:type="dxa" w:w="828"/>
            <w:vAlign w:val="center"/>
          </w:tcPr>
          <w:p>
            <w:r>
              <w:rPr>
                <w:sz w:val="14"/>
              </w:rPr>
              <w:t>4.0</w:t>
            </w:r>
          </w:p>
        </w:tc>
        <w:tc>
          <w:tcPr>
            <w:tcW w:type="dxa" w:w="828"/>
            <w:vAlign w:val="center"/>
          </w:tcPr>
          <w:p>
            <w:r>
              <w:rPr>
                <w:sz w:val="14"/>
              </w:rPr>
              <w:t>912</w:t>
            </w:r>
          </w:p>
        </w:tc>
        <w:tc>
          <w:tcPr>
            <w:tcW w:type="dxa" w:w="828"/>
            <w:vAlign w:val="center"/>
          </w:tcPr>
          <w:p>
            <w:r>
              <w:rPr>
                <w:sz w:val="14"/>
              </w:rPr>
              <w:t>31.211498973305957</w:t>
            </w:r>
          </w:p>
        </w:tc>
        <w:tc>
          <w:tcPr>
            <w:tcW w:type="dxa" w:w="828"/>
            <w:vAlign w:val="center"/>
          </w:tcPr>
          <w:p>
            <w:r>
              <w:rPr>
                <w:sz w:val="14"/>
              </w:rPr>
              <w:t>2010</w:t>
            </w:r>
          </w:p>
        </w:tc>
      </w:tr>
    </w:tbl>
    <w:p>
      <w:r>
        <w:t>Ma trận tương quan hiện có được chèn từ outputs/tables/correlation_matrix.csv. Do dữ liệu vĩ mô có thiếu, cỡ mẫu có thể khác nhau giữa từng cặp biến; cần kiểm tra cách tính tương quan (pairwise deletion/listwise deletion) trước khi diễn giải.</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rPr>
                <w:b/>
                <w:sz w:val="14"/>
              </w:rPr>
              <w:t>Unnamed: 0</w:t>
            </w:r>
          </w:p>
        </w:tc>
        <w:tc>
          <w:tcPr>
            <w:tcW w:type="dxa" w:w="1656"/>
          </w:tcPr>
          <w:p>
            <w:r>
              <w:rPr>
                <w:b/>
                <w:sz w:val="14"/>
              </w:rPr>
              <w:t>BTC_log_return_pct</w:t>
            </w:r>
          </w:p>
        </w:tc>
        <w:tc>
          <w:tcPr>
            <w:tcW w:type="dxa" w:w="1656"/>
          </w:tcPr>
          <w:p>
            <w:r>
              <w:rPr>
                <w:b/>
                <w:sz w:val="14"/>
              </w:rPr>
              <w:t>ETH_log_return_pct</w:t>
            </w:r>
          </w:p>
        </w:tc>
        <w:tc>
          <w:tcPr>
            <w:tcW w:type="dxa" w:w="1656"/>
          </w:tcPr>
          <w:p>
            <w:r>
              <w:rPr>
                <w:b/>
                <w:sz w:val="14"/>
              </w:rPr>
              <w:t>US2Y_change_pp</w:t>
            </w:r>
          </w:p>
        </w:tc>
        <w:tc>
          <w:tcPr>
            <w:tcW w:type="dxa" w:w="1656"/>
          </w:tcPr>
          <w:p>
            <w:r>
              <w:rPr>
                <w:b/>
                <w:sz w:val="14"/>
              </w:rPr>
              <w:t>DXY_log_return_pct</w:t>
            </w:r>
          </w:p>
        </w:tc>
        <w:tc>
          <w:tcPr>
            <w:tcW w:type="dxa" w:w="1656"/>
          </w:tcPr>
          <w:p>
            <w:r>
              <w:rPr>
                <w:b/>
                <w:sz w:val="14"/>
              </w:rPr>
              <w:t>VIX_change_points</w:t>
            </w:r>
          </w:p>
        </w:tc>
      </w:tr>
      <w:tr>
        <w:tc>
          <w:tcPr>
            <w:tcW w:type="dxa" w:w="1656"/>
            <w:vAlign w:val="center"/>
          </w:tcPr>
          <w:p>
            <w:r>
              <w:rPr>
                <w:sz w:val="14"/>
              </w:rPr>
              <w:t>BTC_log_return_pct</w:t>
            </w:r>
          </w:p>
        </w:tc>
        <w:tc>
          <w:tcPr>
            <w:tcW w:type="dxa" w:w="1656"/>
            <w:vAlign w:val="center"/>
          </w:tcPr>
          <w:p>
            <w:r>
              <w:rPr>
                <w:sz w:val="14"/>
              </w:rPr>
              <w:t>1.0</w:t>
            </w:r>
          </w:p>
        </w:tc>
        <w:tc>
          <w:tcPr>
            <w:tcW w:type="dxa" w:w="1656"/>
            <w:vAlign w:val="center"/>
          </w:tcPr>
          <w:p>
            <w:r>
              <w:rPr>
                <w:sz w:val="14"/>
              </w:rPr>
              <w:t>0.8253911627099569</w:t>
            </w:r>
          </w:p>
        </w:tc>
        <w:tc>
          <w:tcPr>
            <w:tcW w:type="dxa" w:w="1656"/>
            <w:vAlign w:val="center"/>
          </w:tcPr>
          <w:p>
            <w:r>
              <w:rPr>
                <w:sz w:val="14"/>
              </w:rPr>
              <w:t>-0.0244056833547747</w:t>
            </w:r>
          </w:p>
        </w:tc>
        <w:tc>
          <w:tcPr>
            <w:tcW w:type="dxa" w:w="1656"/>
            <w:vAlign w:val="center"/>
          </w:tcPr>
          <w:p>
            <w:r>
              <w:rPr>
                <w:sz w:val="14"/>
              </w:rPr>
              <w:t>-0.1181347488745111</w:t>
            </w:r>
          </w:p>
        </w:tc>
        <w:tc>
          <w:tcPr>
            <w:tcW w:type="dxa" w:w="1656"/>
            <w:vAlign w:val="center"/>
          </w:tcPr>
          <w:p>
            <w:r>
              <w:rPr>
                <w:sz w:val="14"/>
              </w:rPr>
              <w:t>-0.3262599906407243</w:t>
            </w:r>
          </w:p>
        </w:tc>
      </w:tr>
      <w:tr>
        <w:tc>
          <w:tcPr>
            <w:tcW w:type="dxa" w:w="1656"/>
            <w:vAlign w:val="center"/>
          </w:tcPr>
          <w:p>
            <w:r>
              <w:rPr>
                <w:sz w:val="14"/>
              </w:rPr>
              <w:t>ETH_log_return_pct</w:t>
            </w:r>
          </w:p>
        </w:tc>
        <w:tc>
          <w:tcPr>
            <w:tcW w:type="dxa" w:w="1656"/>
            <w:vAlign w:val="center"/>
          </w:tcPr>
          <w:p>
            <w:r>
              <w:rPr>
                <w:sz w:val="14"/>
              </w:rPr>
              <w:t>0.8253911627099569</w:t>
            </w:r>
          </w:p>
        </w:tc>
        <w:tc>
          <w:tcPr>
            <w:tcW w:type="dxa" w:w="1656"/>
            <w:vAlign w:val="center"/>
          </w:tcPr>
          <w:p>
            <w:r>
              <w:rPr>
                <w:sz w:val="14"/>
              </w:rPr>
              <w:t>1.0</w:t>
            </w:r>
          </w:p>
        </w:tc>
        <w:tc>
          <w:tcPr>
            <w:tcW w:type="dxa" w:w="1656"/>
            <w:vAlign w:val="center"/>
          </w:tcPr>
          <w:p>
            <w:r>
              <w:rPr>
                <w:sz w:val="14"/>
              </w:rPr>
              <w:t>-0.0133337254910274</w:t>
            </w:r>
          </w:p>
        </w:tc>
        <w:tc>
          <w:tcPr>
            <w:tcW w:type="dxa" w:w="1656"/>
            <w:vAlign w:val="center"/>
          </w:tcPr>
          <w:p>
            <w:r>
              <w:rPr>
                <w:sz w:val="14"/>
              </w:rPr>
              <w:t>-0.1091914760543168</w:t>
            </w:r>
          </w:p>
        </w:tc>
        <w:tc>
          <w:tcPr>
            <w:tcW w:type="dxa" w:w="1656"/>
            <w:vAlign w:val="center"/>
          </w:tcPr>
          <w:p>
            <w:r>
              <w:rPr>
                <w:sz w:val="14"/>
              </w:rPr>
              <w:t>-0.3436439316440172</w:t>
            </w:r>
          </w:p>
        </w:tc>
      </w:tr>
      <w:tr>
        <w:tc>
          <w:tcPr>
            <w:tcW w:type="dxa" w:w="1656"/>
            <w:vAlign w:val="center"/>
          </w:tcPr>
          <w:p>
            <w:r>
              <w:rPr>
                <w:sz w:val="14"/>
              </w:rPr>
              <w:t>US2Y_change_pp</w:t>
            </w:r>
          </w:p>
        </w:tc>
        <w:tc>
          <w:tcPr>
            <w:tcW w:type="dxa" w:w="1656"/>
            <w:vAlign w:val="center"/>
          </w:tcPr>
          <w:p>
            <w:r>
              <w:rPr>
                <w:sz w:val="14"/>
              </w:rPr>
              <w:t>-0.0244056833547747</w:t>
            </w:r>
          </w:p>
        </w:tc>
        <w:tc>
          <w:tcPr>
            <w:tcW w:type="dxa" w:w="1656"/>
            <w:vAlign w:val="center"/>
          </w:tcPr>
          <w:p>
            <w:r>
              <w:rPr>
                <w:sz w:val="14"/>
              </w:rPr>
              <w:t>-0.0133337254910274</w:t>
            </w:r>
          </w:p>
        </w:tc>
        <w:tc>
          <w:tcPr>
            <w:tcW w:type="dxa" w:w="1656"/>
            <w:vAlign w:val="center"/>
          </w:tcPr>
          <w:p>
            <w:r>
              <w:rPr>
                <w:sz w:val="14"/>
              </w:rPr>
              <w:t>1.0</w:t>
            </w:r>
          </w:p>
        </w:tc>
        <w:tc>
          <w:tcPr>
            <w:tcW w:type="dxa" w:w="1656"/>
            <w:vAlign w:val="center"/>
          </w:tcPr>
          <w:p>
            <w:r>
              <w:rPr>
                <w:sz w:val="14"/>
              </w:rPr>
              <w:t>0.3499830936231008</w:t>
            </w:r>
          </w:p>
        </w:tc>
        <w:tc>
          <w:tcPr>
            <w:tcW w:type="dxa" w:w="1656"/>
            <w:vAlign w:val="center"/>
          </w:tcPr>
          <w:p>
            <w:r>
              <w:rPr>
                <w:sz w:val="14"/>
              </w:rPr>
              <w:t>-0.1379691362593084</w:t>
            </w:r>
          </w:p>
        </w:tc>
      </w:tr>
      <w:tr>
        <w:tc>
          <w:tcPr>
            <w:tcW w:type="dxa" w:w="1656"/>
            <w:vAlign w:val="center"/>
          </w:tcPr>
          <w:p>
            <w:r>
              <w:rPr>
                <w:sz w:val="14"/>
              </w:rPr>
              <w:t>DXY_log_return_pct</w:t>
            </w:r>
          </w:p>
        </w:tc>
        <w:tc>
          <w:tcPr>
            <w:tcW w:type="dxa" w:w="1656"/>
            <w:vAlign w:val="center"/>
          </w:tcPr>
          <w:p>
            <w:r>
              <w:rPr>
                <w:sz w:val="14"/>
              </w:rPr>
              <w:t>-0.1181347488745111</w:t>
            </w:r>
          </w:p>
        </w:tc>
        <w:tc>
          <w:tcPr>
            <w:tcW w:type="dxa" w:w="1656"/>
            <w:vAlign w:val="center"/>
          </w:tcPr>
          <w:p>
            <w:r>
              <w:rPr>
                <w:sz w:val="14"/>
              </w:rPr>
              <w:t>-0.1091914760543168</w:t>
            </w:r>
          </w:p>
        </w:tc>
        <w:tc>
          <w:tcPr>
            <w:tcW w:type="dxa" w:w="1656"/>
            <w:vAlign w:val="center"/>
          </w:tcPr>
          <w:p>
            <w:r>
              <w:rPr>
                <w:sz w:val="14"/>
              </w:rPr>
              <w:t>0.3499830936231008</w:t>
            </w:r>
          </w:p>
        </w:tc>
        <w:tc>
          <w:tcPr>
            <w:tcW w:type="dxa" w:w="1656"/>
            <w:vAlign w:val="center"/>
          </w:tcPr>
          <w:p>
            <w:r>
              <w:rPr>
                <w:sz w:val="14"/>
              </w:rPr>
              <w:t>1.0</w:t>
            </w:r>
          </w:p>
        </w:tc>
        <w:tc>
          <w:tcPr>
            <w:tcW w:type="dxa" w:w="1656"/>
            <w:vAlign w:val="center"/>
          </w:tcPr>
          <w:p>
            <w:r>
              <w:rPr>
                <w:sz w:val="14"/>
              </w:rPr>
              <w:t>0.039529536649746</w:t>
            </w:r>
          </w:p>
        </w:tc>
      </w:tr>
      <w:tr>
        <w:tc>
          <w:tcPr>
            <w:tcW w:type="dxa" w:w="1656"/>
            <w:vAlign w:val="center"/>
          </w:tcPr>
          <w:p>
            <w:r>
              <w:rPr>
                <w:sz w:val="14"/>
              </w:rPr>
              <w:t>VIX_change_points</w:t>
            </w:r>
          </w:p>
        </w:tc>
        <w:tc>
          <w:tcPr>
            <w:tcW w:type="dxa" w:w="1656"/>
            <w:vAlign w:val="center"/>
          </w:tcPr>
          <w:p>
            <w:r>
              <w:rPr>
                <w:sz w:val="14"/>
              </w:rPr>
              <w:t>-0.3262599906407243</w:t>
            </w:r>
          </w:p>
        </w:tc>
        <w:tc>
          <w:tcPr>
            <w:tcW w:type="dxa" w:w="1656"/>
            <w:vAlign w:val="center"/>
          </w:tcPr>
          <w:p>
            <w:r>
              <w:rPr>
                <w:sz w:val="14"/>
              </w:rPr>
              <w:t>-0.3436439316440172</w:t>
            </w:r>
          </w:p>
        </w:tc>
        <w:tc>
          <w:tcPr>
            <w:tcW w:type="dxa" w:w="1656"/>
            <w:vAlign w:val="center"/>
          </w:tcPr>
          <w:p>
            <w:r>
              <w:rPr>
                <w:sz w:val="14"/>
              </w:rPr>
              <w:t>-0.1379691362593084</w:t>
            </w:r>
          </w:p>
        </w:tc>
        <w:tc>
          <w:tcPr>
            <w:tcW w:type="dxa" w:w="1656"/>
            <w:vAlign w:val="center"/>
          </w:tcPr>
          <w:p>
            <w:r>
              <w:rPr>
                <w:sz w:val="14"/>
              </w:rPr>
              <w:t>0.039529536649746</w:t>
            </w:r>
          </w:p>
        </w:tc>
        <w:tc>
          <w:tcPr>
            <w:tcW w:type="dxa" w:w="1656"/>
            <w:vAlign w:val="center"/>
          </w:tcPr>
          <w:p>
            <w:r>
              <w:rPr>
                <w:sz w:val="14"/>
              </w:rPr>
              <w:t>1.0</w:t>
            </w:r>
          </w:p>
        </w:tc>
      </w:tr>
    </w:tbl>
    <w:p>
      <w:r>
        <w:t>Tương quan là thống kê mô tả, không xác lập quan hệ nhân quả. Đặc biệt, tương quan giữa lợi suất crypto và thay đổi US2Y/VIX/DXY không đủ để kết luận rằng biến vĩ mô là cú sốc chính sách ngoại sinh.</w:t>
      </w:r>
    </w:p>
    <w:p>
      <w:pPr>
        <w:pStyle w:val="Heading1"/>
      </w:pPr>
      <w:r>
        <w:t>2.7. Phân kỳ mẫu và trạng thái thị trường</w:t>
      </w:r>
    </w:p>
    <w:p>
      <w:r>
        <w:t>Kế hoạch nghiên cứu có đề cập so sánh giai đoạn trước và sau năm 2020, đồng thời có đề cập ngưỡng VIX hoặc phân vị để xác định trạng thái căng thẳng. Cần chốt một quy tắc nhất quán trong config và báo cáo (ví dụ: VIX ≥ 30 hoặc ngưỡng phân vị được ước lượng trên mẫu huấn luyện). Không nên dùng hai quy tắc thay thế cho nhau mà không giải thích.</w:t>
      </w:r>
    </w:p>
    <w:p>
      <w:r>
        <w:t>Nếu phân tích dự báo sử dụng năm 2025 làm tập kiểm tra ngoài mẫu, các ngưỡng chuẩn hóa hoặc phân vị phải được xác định chỉ từ dữ liệu huấn luyện để tránh rò rỉ thông tin tương lai.</w:t>
      </w:r>
    </w:p>
    <w:p>
      <w:pPr>
        <w:pStyle w:val="Heading1"/>
      </w:pPr>
      <w:r>
        <w:t>2.8. Khả năng tái lập</w:t>
      </w:r>
    </w:p>
    <w:p>
      <w:r>
        <w:t>Các đầu ra tài liệu được sinh bằng src/data/generate_tv2_documentation.py. Script đọc dataset đã xử lý và, nếu có, bảng thống kê mô tả, ma trận tương quan và nhật ký nguồn. Sau khi cập nhật dữ liệu, chạy lại script để đồng bộ data dictionary và bản thảo phương pháp.</w:t>
      </w:r>
    </w:p>
    <w:p>
      <w:r>
        <w:t>Lệnh chạy từ thư mục gốc repository: python src/data/generate_tv2_documentation.py. Các thư viện cần thiết gồm pandas, openpyxl và python-docx.</w:t>
      </w:r>
    </w:p>
    <w:p>
      <w:pPr>
        <w:pStyle w:val="Heading1"/>
      </w:pPr>
      <w:r>
        <w:t>2.9. Hạn chế dữ liệu</w:t>
      </w:r>
    </w:p>
    <w:p>
      <w:r>
        <w:t>(1) Các nguồn có lịch giao dịch và lịch công bố khác nhau; ngày lịch không đồng nghĩa với thời điểm thông tin đã sẵn có cho nhà đầu tư. (2) Dataset hiện lưu ngày quan sát nhưng không thể hiện đầy đủ timestamp công bố/khả dụng của từng giá trị vĩ mô, nên cần thận trọng khi diễn giải theo thời gian thực. (3) DXY dùng mã DX-Y.NYB trong pipeline nên cần mô tả là proxy nếu chưa xác nhận tính tương đương với chỉ số chuẩn. (4) US2Y, DXY và VIX là các chỉ báo riêng biệt; không tự động gọi chúng là một chỉ số tổng hợp hay cú sốc nhân quả. (5) Những biến được tính giữa các lần quan sát hợp lệ có thể bao phủ nhiều ngày, cần xử lý observation gap trong các phân tích tiếp theo.</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