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60" w:lineRule="auto"/>
        <w:jc w:val="left"/>
      </w:pPr>
      <w:r>
        <w:rPr>
          <w:rFonts w:ascii="Times New Roman" w:hAnsi="Times New Roman"/>
          <w:b/>
          <w:color w:val="000000"/>
          <w:sz w:val="26"/>
        </w:rPr>
        <w:t>2. DỮ LIỆU VÀ PHƯƠNG PHÁP XỬ LÝ</w:t>
      </w:r>
    </w:p>
    <w:p>
      <w:pPr>
        <w:spacing w:line="360" w:lineRule="auto"/>
        <w:jc w:val="left"/>
      </w:pPr>
      <w:r>
        <w:rPr>
          <w:rFonts w:ascii="Times New Roman" w:hAnsi="Times New Roman"/>
          <w:i/>
          <w:color w:val="000000"/>
          <w:sz w:val="26"/>
        </w:rPr>
        <w:t>Global Financial Conditions and Cryptocurrency Markets: Dynamic and Regime-Dependent Transmission of Interest Rate, Dollar, and Risk Movements to Bitcoin and Ethereum</w:t>
      </w:r>
    </w:p>
    <w:p>
      <w:pPr>
        <w:spacing w:line="360" w:lineRule="auto"/>
        <w:jc w:val="left"/>
      </w:pPr>
      <w:r>
        <w:rPr>
          <w:rFonts w:ascii="Times New Roman" w:hAnsi="Times New Roman"/>
          <w:color w:val="000000"/>
          <w:sz w:val="26"/>
        </w:rPr>
        <w:t>Phạm vi mẫu: 2018–2025 | Bộ dữ liệu chuẩn dùng chung cho phân tích kinh tế lượng và học máy</w:t>
      </w:r>
    </w:p>
    <w:p>
      <w:pPr>
        <w:pStyle w:val="Heading1"/>
        <w:spacing w:line="360" w:lineRule="auto"/>
      </w:pPr>
      <w:r>
        <w:rPr>
          <w:rFonts w:ascii="Times New Roman" w:hAnsi="Times New Roman"/>
          <w:b/>
          <w:color w:val="000000"/>
          <w:sz w:val="26"/>
        </w:rPr>
        <w:t>2.1. Thiết kế và phạm vi dữ liệu</w:t>
      </w:r>
    </w:p>
    <w:p>
      <w:pPr>
        <w:spacing w:line="360" w:lineRule="auto"/>
      </w:pPr>
      <w:r>
        <w:rPr>
          <w:rFonts w:ascii="Times New Roman" w:hAnsi="Times New Roman"/>
          <w:color w:val="000000"/>
          <w:sz w:val="26"/>
        </w:rPr>
        <w:t>Nghiên cứu sử dụng dữ liệu chuỗi thời gian theo ngày trong giai đoạn 01/01/2018–31/12/2025. Bộ dữ liệu chuẩn có 2,922 ngày lịch và 17 cột, bao gồm giá BTC, ETH; ba chỉ báo tài chính toàn cầu US2Y, DXY và VIX; các biến lợi suất/thay đổi cùng cờ quan sát và khoảng cách giữa các lần quan sát vĩ mô. Phạm vi này thống nhất với Chương 3 (mô hình VAR, phản ứng xung và Local Projections) và Chương 4 (dự báo ngoài mẫu độ lớn lợi suất BTC/ETH).</w:t>
      </w:r>
    </w:p>
    <w:p>
      <w:pPr>
        <w:spacing w:line="360" w:lineRule="auto"/>
      </w:pPr>
      <w:r>
        <w:rPr>
          <w:rFonts w:ascii="Times New Roman" w:hAnsi="Times New Roman"/>
          <w:color w:val="000000"/>
          <w:sz w:val="26"/>
        </w:rPr>
        <w:t>Đơn vị thời gian của dataset là ngày lịch liên tục, không phải chỉ các ngày thị trường tài chính truyền thống mở cửa. Vì vậy, số quan sát thực tế dùng trong từng mô hình có thể khác nhau tùy biến và quy tắc lọc mẫu; không được hiểu số ngày lịch là cỡ mẫu của mọi ước lượng.</w:t>
      </w:r>
    </w:p>
    <w:p>
      <w:pPr>
        <w:pStyle w:val="Heading1"/>
        <w:spacing w:line="360" w:lineRule="auto"/>
      </w:pPr>
      <w:r>
        <w:rPr>
          <w:rFonts w:ascii="Times New Roman" w:hAnsi="Times New Roman"/>
          <w:b/>
          <w:color w:val="000000"/>
          <w:sz w:val="26"/>
        </w:rPr>
        <w:t>2.2. Nguồn dữ liệu</w:t>
      </w:r>
    </w:p>
    <w:tbl>
      <w:tblPr>
        <w:tblStyle w:val="TableGrid"/>
        <w:tblW w:type="auto" w:w="0"/>
        <w:jc w:val="center"/>
        <w:tblLayout w:type="autofit"/>
        <w:tblLook w:firstColumn="1" w:firstRow="1" w:lastColumn="0" w:lastRow="0" w:noHBand="0" w:noVBand="1" w:val="04A0"/>
      </w:tblPr>
      <w:tblGrid>
        <w:gridCol w:w="3000"/>
        <w:gridCol w:w="3000"/>
        <w:gridCol w:w="3000"/>
      </w:tblGrid>
      <w:tr>
        <w:tc>
          <w:tcPr>
            <w:tcW w:type="dxa" w:w="3000"/>
            <w:vAlign w:val="center"/>
          </w:tcPr>
          <w:p>
            <w:pPr>
              <w:spacing w:line="360" w:lineRule="auto" w:before="0" w:after="0"/>
            </w:pPr>
            <w:r>
              <w:rPr>
                <w:rFonts w:ascii="Times New Roman" w:hAnsi="Times New Roman"/>
                <w:b/>
                <w:color w:val="000000"/>
                <w:sz w:val="26"/>
              </w:rPr>
              <w:t>Biến</w:t>
            </w:r>
          </w:p>
        </w:tc>
        <w:tc>
          <w:tcPr>
            <w:tcW w:type="dxa" w:w="3000"/>
            <w:vAlign w:val="center"/>
          </w:tcPr>
          <w:p>
            <w:pPr>
              <w:spacing w:line="360" w:lineRule="auto" w:before="0" w:after="0"/>
            </w:pPr>
            <w:r>
              <w:rPr>
                <w:rFonts w:ascii="Times New Roman" w:hAnsi="Times New Roman"/>
                <w:b/>
                <w:color w:val="000000"/>
                <w:sz w:val="26"/>
              </w:rPr>
              <w:t>Nguồn/mã</w:t>
            </w:r>
          </w:p>
        </w:tc>
        <w:tc>
          <w:tcPr>
            <w:tcW w:type="dxa" w:w="3000"/>
            <w:vAlign w:val="center"/>
          </w:tcPr>
          <w:p>
            <w:pPr>
              <w:spacing w:line="360" w:lineRule="auto" w:before="0" w:after="0"/>
            </w:pPr>
            <w:r>
              <w:rPr>
                <w:rFonts w:ascii="Times New Roman" w:hAnsi="Times New Roman"/>
                <w:b/>
                <w:color w:val="000000"/>
                <w:sz w:val="26"/>
              </w:rPr>
              <w:t>Định nghĩa và lưu ý</w:t>
            </w:r>
          </w:p>
        </w:tc>
      </w:tr>
      <w:tr>
        <w:tc>
          <w:tcPr>
            <w:tcW w:type="dxa" w:w="3000"/>
            <w:vAlign w:val="center"/>
          </w:tcPr>
          <w:p>
            <w:pPr>
              <w:spacing w:line="360" w:lineRule="auto" w:before="0" w:after="0"/>
            </w:pPr>
            <w:r>
              <w:rPr>
                <w:rFonts w:ascii="Times New Roman" w:hAnsi="Times New Roman"/>
                <w:color w:val="000000"/>
                <w:sz w:val="26"/>
              </w:rPr>
              <w:t>BTC</w:t>
            </w:r>
          </w:p>
        </w:tc>
        <w:tc>
          <w:tcPr>
            <w:tcW w:type="dxa" w:w="3000"/>
            <w:vAlign w:val="center"/>
          </w:tcPr>
          <w:p>
            <w:pPr>
              <w:spacing w:line="360" w:lineRule="auto" w:before="0" w:after="0"/>
            </w:pPr>
            <w:r>
              <w:rPr>
                <w:rFonts w:ascii="Times New Roman" w:hAnsi="Times New Roman"/>
                <w:color w:val="000000"/>
                <w:sz w:val="26"/>
              </w:rPr>
              <w:t>Yahoo Finance: BTC-USD</w:t>
            </w:r>
          </w:p>
        </w:tc>
        <w:tc>
          <w:tcPr>
            <w:tcW w:type="dxa" w:w="3000"/>
            <w:vAlign w:val="center"/>
          </w:tcPr>
          <w:p>
            <w:pPr>
              <w:spacing w:line="360" w:lineRule="auto" w:before="0" w:after="0"/>
            </w:pPr>
            <w:r>
              <w:rPr>
                <w:rFonts w:ascii="Times New Roman" w:hAnsi="Times New Roman"/>
                <w:color w:val="000000"/>
                <w:sz w:val="26"/>
              </w:rPr>
              <w:t>Giá đóng cửa Bitcoin; thị trường giao dịch liên tục.</w:t>
            </w:r>
          </w:p>
        </w:tc>
      </w:tr>
      <w:tr>
        <w:tc>
          <w:tcPr>
            <w:tcW w:type="dxa" w:w="3000"/>
            <w:vAlign w:val="center"/>
          </w:tcPr>
          <w:p>
            <w:pPr>
              <w:spacing w:line="360" w:lineRule="auto" w:before="0" w:after="0"/>
            </w:pPr>
            <w:r>
              <w:rPr>
                <w:rFonts w:ascii="Times New Roman" w:hAnsi="Times New Roman"/>
                <w:color w:val="000000"/>
                <w:sz w:val="26"/>
              </w:rPr>
              <w:t>ETH</w:t>
            </w:r>
          </w:p>
        </w:tc>
        <w:tc>
          <w:tcPr>
            <w:tcW w:type="dxa" w:w="3000"/>
            <w:vAlign w:val="center"/>
          </w:tcPr>
          <w:p>
            <w:pPr>
              <w:spacing w:line="360" w:lineRule="auto" w:before="0" w:after="0"/>
            </w:pPr>
            <w:r>
              <w:rPr>
                <w:rFonts w:ascii="Times New Roman" w:hAnsi="Times New Roman"/>
                <w:color w:val="000000"/>
                <w:sz w:val="26"/>
              </w:rPr>
              <w:t>Yahoo Finance: ETH-USD</w:t>
            </w:r>
          </w:p>
        </w:tc>
        <w:tc>
          <w:tcPr>
            <w:tcW w:type="dxa" w:w="3000"/>
            <w:vAlign w:val="center"/>
          </w:tcPr>
          <w:p>
            <w:pPr>
              <w:spacing w:line="360" w:lineRule="auto" w:before="0" w:after="0"/>
            </w:pPr>
            <w:r>
              <w:rPr>
                <w:rFonts w:ascii="Times New Roman" w:hAnsi="Times New Roman"/>
                <w:color w:val="000000"/>
                <w:sz w:val="26"/>
              </w:rPr>
              <w:t>Giá đóng cửa Ethereum; thị trường giao dịch liên tục.</w:t>
            </w:r>
          </w:p>
        </w:tc>
      </w:tr>
      <w:tr>
        <w:tc>
          <w:tcPr>
            <w:tcW w:type="dxa" w:w="3000"/>
            <w:vAlign w:val="center"/>
          </w:tcPr>
          <w:p>
            <w:pPr>
              <w:spacing w:line="360" w:lineRule="auto" w:before="0" w:after="0"/>
            </w:pPr>
            <w:r>
              <w:rPr>
                <w:rFonts w:ascii="Times New Roman" w:hAnsi="Times New Roman"/>
                <w:color w:val="000000"/>
                <w:sz w:val="26"/>
              </w:rPr>
              <w:t>US2Y</w:t>
            </w:r>
          </w:p>
        </w:tc>
        <w:tc>
          <w:tcPr>
            <w:tcW w:type="dxa" w:w="3000"/>
            <w:vAlign w:val="center"/>
          </w:tcPr>
          <w:p>
            <w:pPr>
              <w:spacing w:line="360" w:lineRule="auto" w:before="0" w:after="0"/>
            </w:pPr>
            <w:r>
              <w:rPr>
                <w:rFonts w:ascii="Times New Roman" w:hAnsi="Times New Roman"/>
                <w:color w:val="000000"/>
                <w:sz w:val="26"/>
              </w:rPr>
              <w:t>FRED: DGS2</w:t>
            </w:r>
          </w:p>
        </w:tc>
        <w:tc>
          <w:tcPr>
            <w:tcW w:type="dxa" w:w="3000"/>
            <w:vAlign w:val="center"/>
          </w:tcPr>
          <w:p>
            <w:pPr>
              <w:spacing w:line="360" w:lineRule="auto" w:before="0" w:after="0"/>
            </w:pPr>
            <w:r>
              <w:rPr>
                <w:rFonts w:ascii="Times New Roman" w:hAnsi="Times New Roman"/>
                <w:color w:val="000000"/>
                <w:sz w:val="26"/>
              </w:rPr>
              <w:t>Lợi suất Kho bạc Mỹ kỳ hạn 2 năm, đơn vị %/năm; không có quan sát cho mọi ngày lịch.</w:t>
            </w:r>
          </w:p>
        </w:tc>
      </w:tr>
      <w:tr>
        <w:tc>
          <w:tcPr>
            <w:tcW w:type="dxa" w:w="3000"/>
            <w:vAlign w:val="center"/>
          </w:tcPr>
          <w:p>
            <w:pPr>
              <w:spacing w:line="360" w:lineRule="auto" w:before="0" w:after="0"/>
            </w:pPr>
            <w:r>
              <w:rPr>
                <w:rFonts w:ascii="Times New Roman" w:hAnsi="Times New Roman"/>
                <w:color w:val="000000"/>
                <w:sz w:val="26"/>
              </w:rPr>
              <w:t>DXY</w:t>
            </w:r>
          </w:p>
        </w:tc>
        <w:tc>
          <w:tcPr>
            <w:tcW w:type="dxa" w:w="3000"/>
            <w:vAlign w:val="center"/>
          </w:tcPr>
          <w:p>
            <w:pPr>
              <w:spacing w:line="360" w:lineRule="auto" w:before="0" w:after="0"/>
            </w:pPr>
            <w:r>
              <w:rPr>
                <w:rFonts w:ascii="Times New Roman" w:hAnsi="Times New Roman"/>
                <w:color w:val="000000"/>
                <w:sz w:val="26"/>
              </w:rPr>
              <w:t>Yahoo Finance: DX-Y.NYB</w:t>
            </w:r>
          </w:p>
        </w:tc>
        <w:tc>
          <w:tcPr>
            <w:tcW w:type="dxa" w:w="3000"/>
            <w:vAlign w:val="center"/>
          </w:tcPr>
          <w:p>
            <w:pPr>
              <w:spacing w:line="360" w:lineRule="auto" w:before="0" w:after="0"/>
            </w:pPr>
            <w:r>
              <w:rPr>
                <w:rFonts w:ascii="Times New Roman" w:hAnsi="Times New Roman"/>
                <w:color w:val="000000"/>
                <w:sz w:val="26"/>
              </w:rPr>
              <w:t>Proxy chỉ số USD theo mã được tải trong pipeline; không gọi là chuỗi chuẩn chính thức nếu chưa xác minh tương đương.</w:t>
            </w:r>
          </w:p>
        </w:tc>
      </w:tr>
      <w:tr>
        <w:tc>
          <w:tcPr>
            <w:tcW w:type="dxa" w:w="3000"/>
            <w:vAlign w:val="center"/>
          </w:tcPr>
          <w:p>
            <w:pPr>
              <w:spacing w:line="360" w:lineRule="auto" w:before="0" w:after="0"/>
            </w:pPr>
            <w:r>
              <w:rPr>
                <w:rFonts w:ascii="Times New Roman" w:hAnsi="Times New Roman"/>
                <w:color w:val="000000"/>
                <w:sz w:val="26"/>
              </w:rPr>
              <w:t>VIX</w:t>
            </w:r>
          </w:p>
        </w:tc>
        <w:tc>
          <w:tcPr>
            <w:tcW w:type="dxa" w:w="3000"/>
            <w:vAlign w:val="center"/>
          </w:tcPr>
          <w:p>
            <w:pPr>
              <w:spacing w:line="360" w:lineRule="auto" w:before="0" w:after="0"/>
            </w:pPr>
            <w:r>
              <w:rPr>
                <w:rFonts w:ascii="Times New Roman" w:hAnsi="Times New Roman"/>
                <w:color w:val="000000"/>
                <w:sz w:val="26"/>
              </w:rPr>
              <w:t>Yahoo Finance: ^VIX</w:t>
            </w:r>
          </w:p>
        </w:tc>
        <w:tc>
          <w:tcPr>
            <w:tcW w:type="dxa" w:w="3000"/>
            <w:vAlign w:val="center"/>
          </w:tcPr>
          <w:p>
            <w:pPr>
              <w:spacing w:line="360" w:lineRule="auto" w:before="0" w:after="0"/>
            </w:pPr>
            <w:r>
              <w:rPr>
                <w:rFonts w:ascii="Times New Roman" w:hAnsi="Times New Roman"/>
                <w:color w:val="000000"/>
                <w:sz w:val="26"/>
              </w:rPr>
              <w:t>Chỉ số biến động kỳ vọng thị trường chứng khoán Mỹ, đơn vị điểm chỉ số.</w:t>
            </w:r>
          </w:p>
        </w:tc>
      </w:tr>
    </w:tbl>
    <w:p>
      <w:pPr>
        <w:spacing w:line="360" w:lineRule="auto"/>
      </w:pPr>
      <w:r>
        <w:rPr>
          <w:rFonts w:ascii="Times New Roman" w:hAnsi="Times New Roman"/>
          <w:color w:val="000000"/>
          <w:sz w:val="26"/>
        </w:rPr>
        <w:t>Nhật ký nguồn và thông tin truy xuất được lưu trong docs/data_source_log.xlsx. Để tái lập, cần giữ mã chuỗi, nguồn, khoảng thời gian tải, thời điểm tải và số quan sát hợp lệ; mọi thay đổi nguồn hoặc mã proxy phải được phản ánh đồng thời trong nhật ký và bản thảo.</w:t>
      </w:r>
    </w:p>
    <w:p>
      <w:pPr>
        <w:pStyle w:val="Heading1"/>
        <w:spacing w:line="360" w:lineRule="auto"/>
      </w:pPr>
      <w:r>
        <w:rPr>
          <w:rFonts w:ascii="Times New Roman" w:hAnsi="Times New Roman"/>
          <w:b/>
          <w:color w:val="000000"/>
          <w:sz w:val="26"/>
        </w:rPr>
        <w:t>2.3. Đồng bộ và làm sạch dữ liệu</w:t>
      </w:r>
    </w:p>
    <w:p>
      <w:pPr>
        <w:spacing w:line="360" w:lineRule="auto"/>
      </w:pPr>
      <w:r>
        <w:rPr>
          <w:rFonts w:ascii="Times New Roman" w:hAnsi="Times New Roman"/>
          <w:color w:val="000000"/>
          <w:sz w:val="26"/>
        </w:rPr>
        <w:t>Dữ liệu thô được chuẩn hóa về ngày UTC, sắp xếp theo thời gian, kiểm tra ngày trùng và chuyển các cột số về dạng số. Dataset được reindex trên lịch ngày liên tục từ đầu năm 2018 đến hết năm 2025. Không forward-fill, backfill hoặc nội suy các mức vĩ mô trong dataset chuẩn; giá trị thiếu được giữ là NA và không được diễn giải là 0.</w:t>
      </w:r>
    </w:p>
    <w:p>
      <w:pPr>
        <w:spacing w:line="360" w:lineRule="auto"/>
      </w:pPr>
      <w:r>
        <w:rPr>
          <w:rFonts w:ascii="Times New Roman" w:hAnsi="Times New Roman"/>
          <w:color w:val="000000"/>
          <w:sz w:val="26"/>
        </w:rPr>
        <w:t>Lợi suất BTC/ETH được tính trên chuỗi giá crypto theo ngày lịch trước khi lọc mẫu. Ngược lại, thay đổi US2Y, DXY và VIX chỉ được tính giữa hai lần quan sát hợp lệ liên tiếp của nguồn. Nếu hai lần quan sát cách nhau hơn một ngày, biến đổi tương ứng không phải biến động một ngày. Các biến *_observation_gap_days và *_observed được lưu để nhận diện khoảng trống quan sát.</w:t>
      </w:r>
    </w:p>
    <w:p>
      <w:pPr>
        <w:pStyle w:val="Heading1"/>
        <w:spacing w:line="360" w:lineRule="auto"/>
      </w:pPr>
      <w:r>
        <w:rPr>
          <w:rFonts w:ascii="Times New Roman" w:hAnsi="Times New Roman"/>
          <w:b/>
          <w:color w:val="000000"/>
          <w:sz w:val="26"/>
        </w:rPr>
        <w:t>2.4. Xây dựng biến và quy ước đo lường</w:t>
      </w:r>
    </w:p>
    <w:tbl>
      <w:tblPr>
        <w:tblStyle w:val="TableGrid"/>
        <w:tblW w:type="auto" w:w="0"/>
        <w:jc w:val="center"/>
        <w:tblLayout w:type="autofit"/>
        <w:tblLook w:firstColumn="1" w:firstRow="1" w:lastColumn="0" w:lastRow="0" w:noHBand="0" w:noVBand="1" w:val="04A0"/>
      </w:tblPr>
      <w:tblGrid>
        <w:gridCol w:w="3000"/>
        <w:gridCol w:w="3000"/>
        <w:gridCol w:w="3000"/>
      </w:tblGrid>
      <w:tr>
        <w:tc>
          <w:tcPr>
            <w:tcW w:type="dxa" w:w="3000"/>
            <w:vAlign w:val="center"/>
          </w:tcPr>
          <w:p>
            <w:pPr>
              <w:spacing w:line="360" w:lineRule="auto" w:before="0" w:after="0"/>
            </w:pPr>
            <w:r>
              <w:rPr>
                <w:rFonts w:ascii="Times New Roman" w:hAnsi="Times New Roman"/>
                <w:b/>
                <w:color w:val="000000"/>
                <w:sz w:val="26"/>
              </w:rPr>
              <w:t>Biến</w:t>
            </w:r>
          </w:p>
        </w:tc>
        <w:tc>
          <w:tcPr>
            <w:tcW w:type="dxa" w:w="3000"/>
            <w:vAlign w:val="center"/>
          </w:tcPr>
          <w:p>
            <w:pPr>
              <w:spacing w:line="360" w:lineRule="auto" w:before="0" w:after="0"/>
            </w:pPr>
            <w:r>
              <w:rPr>
                <w:rFonts w:ascii="Times New Roman" w:hAnsi="Times New Roman"/>
                <w:b/>
                <w:color w:val="000000"/>
                <w:sz w:val="26"/>
              </w:rPr>
              <w:t>Công thức/định nghĩa</w:t>
            </w:r>
          </w:p>
        </w:tc>
        <w:tc>
          <w:tcPr>
            <w:tcW w:type="dxa" w:w="3000"/>
            <w:vAlign w:val="center"/>
          </w:tcPr>
          <w:p>
            <w:pPr>
              <w:spacing w:line="360" w:lineRule="auto" w:before="0" w:after="0"/>
            </w:pPr>
            <w:r>
              <w:rPr>
                <w:rFonts w:ascii="Times New Roman" w:hAnsi="Times New Roman"/>
                <w:b/>
                <w:color w:val="000000"/>
                <w:sz w:val="26"/>
              </w:rPr>
              <w:t>Đơn vị</w:t>
            </w:r>
          </w:p>
        </w:tc>
      </w:tr>
      <w:tr>
        <w:tc>
          <w:tcPr>
            <w:tcW w:type="dxa" w:w="3000"/>
            <w:vAlign w:val="center"/>
          </w:tcPr>
          <w:p>
            <w:pPr>
              <w:spacing w:line="360" w:lineRule="auto" w:before="0" w:after="0"/>
            </w:pPr>
            <w:r>
              <w:rPr>
                <w:rFonts w:ascii="Times New Roman" w:hAnsi="Times New Roman"/>
                <w:color w:val="000000"/>
                <w:sz w:val="26"/>
              </w:rPr>
              <w:t>BTC_log_return_pct</w:t>
            </w:r>
          </w:p>
        </w:tc>
        <w:tc>
          <w:tcPr>
            <w:tcW w:type="dxa" w:w="3000"/>
            <w:vAlign w:val="center"/>
          </w:tcPr>
          <w:p>
            <w:pPr>
              <w:spacing w:line="360" w:lineRule="auto" w:before="0" w:after="0"/>
            </w:pPr>
            <w:r>
              <w:rPr>
                <w:rFonts w:ascii="Times New Roman" w:hAnsi="Times New Roman"/>
                <w:color w:val="000000"/>
                <w:sz w:val="26"/>
              </w:rPr>
              <w:t>100 × ln(BTC_t / BTC_(t−1))</w:t>
            </w:r>
          </w:p>
        </w:tc>
        <w:tc>
          <w:tcPr>
            <w:tcW w:type="dxa" w:w="3000"/>
            <w:vAlign w:val="center"/>
          </w:tcPr>
          <w:p>
            <w:pPr>
              <w:spacing w:line="360" w:lineRule="auto" w:before="0" w:after="0"/>
            </w:pPr>
            <w:r>
              <w:rPr>
                <w:rFonts w:ascii="Times New Roman" w:hAnsi="Times New Roman"/>
                <w:color w:val="000000"/>
                <w:sz w:val="26"/>
              </w:rPr>
              <w:t>%/ngày</w:t>
            </w:r>
          </w:p>
        </w:tc>
      </w:tr>
      <w:tr>
        <w:tc>
          <w:tcPr>
            <w:tcW w:type="dxa" w:w="3000"/>
            <w:vAlign w:val="center"/>
          </w:tcPr>
          <w:p>
            <w:pPr>
              <w:spacing w:line="360" w:lineRule="auto" w:before="0" w:after="0"/>
            </w:pPr>
            <w:r>
              <w:rPr>
                <w:rFonts w:ascii="Times New Roman" w:hAnsi="Times New Roman"/>
                <w:color w:val="000000"/>
                <w:sz w:val="26"/>
              </w:rPr>
              <w:t>ETH_log_return_pct</w:t>
            </w:r>
          </w:p>
        </w:tc>
        <w:tc>
          <w:tcPr>
            <w:tcW w:type="dxa" w:w="3000"/>
            <w:vAlign w:val="center"/>
          </w:tcPr>
          <w:p>
            <w:pPr>
              <w:spacing w:line="360" w:lineRule="auto" w:before="0" w:after="0"/>
            </w:pPr>
            <w:r>
              <w:rPr>
                <w:rFonts w:ascii="Times New Roman" w:hAnsi="Times New Roman"/>
                <w:color w:val="000000"/>
                <w:sz w:val="26"/>
              </w:rPr>
              <w:t>100 × ln(ETH_t / ETH_(t−1))</w:t>
            </w:r>
          </w:p>
        </w:tc>
        <w:tc>
          <w:tcPr>
            <w:tcW w:type="dxa" w:w="3000"/>
            <w:vAlign w:val="center"/>
          </w:tcPr>
          <w:p>
            <w:pPr>
              <w:spacing w:line="360" w:lineRule="auto" w:before="0" w:after="0"/>
            </w:pPr>
            <w:r>
              <w:rPr>
                <w:rFonts w:ascii="Times New Roman" w:hAnsi="Times New Roman"/>
                <w:color w:val="000000"/>
                <w:sz w:val="26"/>
              </w:rPr>
              <w:t>%/ngày</w:t>
            </w:r>
          </w:p>
        </w:tc>
      </w:tr>
      <w:tr>
        <w:tc>
          <w:tcPr>
            <w:tcW w:type="dxa" w:w="3000"/>
            <w:vAlign w:val="center"/>
          </w:tcPr>
          <w:p>
            <w:pPr>
              <w:spacing w:line="360" w:lineRule="auto" w:before="0" w:after="0"/>
            </w:pPr>
            <w:r>
              <w:rPr>
                <w:rFonts w:ascii="Times New Roman" w:hAnsi="Times New Roman"/>
                <w:color w:val="000000"/>
                <w:sz w:val="26"/>
              </w:rPr>
              <w:t>US2Y_change_pp</w:t>
            </w:r>
          </w:p>
        </w:tc>
        <w:tc>
          <w:tcPr>
            <w:tcW w:type="dxa" w:w="3000"/>
            <w:vAlign w:val="center"/>
          </w:tcPr>
          <w:p>
            <w:pPr>
              <w:spacing w:line="360" w:lineRule="auto" w:before="0" w:after="0"/>
            </w:pPr>
            <w:r>
              <w:rPr>
                <w:rFonts w:ascii="Times New Roman" w:hAnsi="Times New Roman"/>
                <w:color w:val="000000"/>
                <w:sz w:val="26"/>
              </w:rPr>
              <w:t>US2Y_t − US2Y_previous_observed</w:t>
            </w:r>
          </w:p>
        </w:tc>
        <w:tc>
          <w:tcPr>
            <w:tcW w:type="dxa" w:w="3000"/>
            <w:vAlign w:val="center"/>
          </w:tcPr>
          <w:p>
            <w:pPr>
              <w:spacing w:line="360" w:lineRule="auto" w:before="0" w:after="0"/>
            </w:pPr>
            <w:r>
              <w:rPr>
                <w:rFonts w:ascii="Times New Roman" w:hAnsi="Times New Roman"/>
                <w:color w:val="000000"/>
                <w:sz w:val="26"/>
              </w:rPr>
              <w:t>Điểm phần trăm giữa hai lần quan sát</w:t>
            </w:r>
          </w:p>
        </w:tc>
      </w:tr>
      <w:tr>
        <w:tc>
          <w:tcPr>
            <w:tcW w:type="dxa" w:w="3000"/>
            <w:vAlign w:val="center"/>
          </w:tcPr>
          <w:p>
            <w:pPr>
              <w:spacing w:line="360" w:lineRule="auto" w:before="0" w:after="0"/>
            </w:pPr>
            <w:r>
              <w:rPr>
                <w:rFonts w:ascii="Times New Roman" w:hAnsi="Times New Roman"/>
                <w:color w:val="000000"/>
                <w:sz w:val="26"/>
              </w:rPr>
              <w:t>DXY_log_return_pct</w:t>
            </w:r>
          </w:p>
        </w:tc>
        <w:tc>
          <w:tcPr>
            <w:tcW w:type="dxa" w:w="3000"/>
            <w:vAlign w:val="center"/>
          </w:tcPr>
          <w:p>
            <w:pPr>
              <w:spacing w:line="360" w:lineRule="auto" w:before="0" w:after="0"/>
            </w:pPr>
            <w:r>
              <w:rPr>
                <w:rFonts w:ascii="Times New Roman" w:hAnsi="Times New Roman"/>
                <w:color w:val="000000"/>
                <w:sz w:val="26"/>
              </w:rPr>
              <w:t>100 × ln(DXY_t / DXY_previous_observed)</w:t>
            </w:r>
          </w:p>
        </w:tc>
        <w:tc>
          <w:tcPr>
            <w:tcW w:type="dxa" w:w="3000"/>
            <w:vAlign w:val="center"/>
          </w:tcPr>
          <w:p>
            <w:pPr>
              <w:spacing w:line="360" w:lineRule="auto" w:before="0" w:after="0"/>
            </w:pPr>
            <w:r>
              <w:rPr>
                <w:rFonts w:ascii="Times New Roman" w:hAnsi="Times New Roman"/>
                <w:color w:val="000000"/>
                <w:sz w:val="26"/>
              </w:rPr>
              <w:t>% giữa hai lần quan sát</w:t>
            </w:r>
          </w:p>
        </w:tc>
      </w:tr>
      <w:tr>
        <w:tc>
          <w:tcPr>
            <w:tcW w:type="dxa" w:w="3000"/>
            <w:vAlign w:val="center"/>
          </w:tcPr>
          <w:p>
            <w:pPr>
              <w:spacing w:line="360" w:lineRule="auto" w:before="0" w:after="0"/>
            </w:pPr>
            <w:r>
              <w:rPr>
                <w:rFonts w:ascii="Times New Roman" w:hAnsi="Times New Roman"/>
                <w:color w:val="000000"/>
                <w:sz w:val="26"/>
              </w:rPr>
              <w:t>VIX_change_points</w:t>
            </w:r>
          </w:p>
        </w:tc>
        <w:tc>
          <w:tcPr>
            <w:tcW w:type="dxa" w:w="3000"/>
            <w:vAlign w:val="center"/>
          </w:tcPr>
          <w:p>
            <w:pPr>
              <w:spacing w:line="360" w:lineRule="auto" w:before="0" w:after="0"/>
            </w:pPr>
            <w:r>
              <w:rPr>
                <w:rFonts w:ascii="Times New Roman" w:hAnsi="Times New Roman"/>
                <w:color w:val="000000"/>
                <w:sz w:val="26"/>
              </w:rPr>
              <w:t>VIX_t − VIX_previous_observed</w:t>
            </w:r>
          </w:p>
        </w:tc>
        <w:tc>
          <w:tcPr>
            <w:tcW w:type="dxa" w:w="3000"/>
            <w:vAlign w:val="center"/>
          </w:tcPr>
          <w:p>
            <w:pPr>
              <w:spacing w:line="360" w:lineRule="auto" w:before="0" w:after="0"/>
            </w:pPr>
            <w:r>
              <w:rPr>
                <w:rFonts w:ascii="Times New Roman" w:hAnsi="Times New Roman"/>
                <w:color w:val="000000"/>
                <w:sz w:val="26"/>
              </w:rPr>
              <w:t>Điểm VIX giữa hai lần quan sát</w:t>
            </w:r>
          </w:p>
        </w:tc>
      </w:tr>
      <w:tr>
        <w:tc>
          <w:tcPr>
            <w:tcW w:type="dxa" w:w="3000"/>
            <w:vAlign w:val="center"/>
          </w:tcPr>
          <w:p>
            <w:pPr>
              <w:spacing w:line="360" w:lineRule="auto" w:before="0" w:after="0"/>
            </w:pPr>
            <w:r>
              <w:rPr>
                <w:rFonts w:ascii="Times New Roman" w:hAnsi="Times New Roman"/>
                <w:color w:val="000000"/>
                <w:sz w:val="26"/>
              </w:rPr>
              <w:t>*_observed</w:t>
            </w:r>
          </w:p>
        </w:tc>
        <w:tc>
          <w:tcPr>
            <w:tcW w:type="dxa" w:w="3000"/>
            <w:vAlign w:val="center"/>
          </w:tcPr>
          <w:p>
            <w:pPr>
              <w:spacing w:line="360" w:lineRule="auto" w:before="0" w:after="0"/>
            </w:pPr>
            <w:r>
              <w:rPr>
                <w:rFonts w:ascii="Times New Roman" w:hAnsi="Times New Roman"/>
                <w:color w:val="000000"/>
                <w:sz w:val="26"/>
              </w:rPr>
              <w:t>1 nếu có mức dữ liệu nguồn tại ngày đó; ngược lại 0</w:t>
            </w:r>
          </w:p>
        </w:tc>
        <w:tc>
          <w:tcPr>
            <w:tcW w:type="dxa" w:w="3000"/>
            <w:vAlign w:val="center"/>
          </w:tcPr>
          <w:p>
            <w:pPr>
              <w:spacing w:line="360" w:lineRule="auto" w:before="0" w:after="0"/>
            </w:pPr>
            <w:r>
              <w:rPr>
                <w:rFonts w:ascii="Times New Roman" w:hAnsi="Times New Roman"/>
                <w:color w:val="000000"/>
                <w:sz w:val="26"/>
              </w:rPr>
              <w:t>Nhị phân 0/1</w:t>
            </w:r>
          </w:p>
        </w:tc>
      </w:tr>
      <w:tr>
        <w:tc>
          <w:tcPr>
            <w:tcW w:type="dxa" w:w="3000"/>
            <w:vAlign w:val="center"/>
          </w:tcPr>
          <w:p>
            <w:pPr>
              <w:spacing w:line="360" w:lineRule="auto" w:before="0" w:after="0"/>
            </w:pPr>
            <w:r>
              <w:rPr>
                <w:rFonts w:ascii="Times New Roman" w:hAnsi="Times New Roman"/>
                <w:color w:val="000000"/>
                <w:sz w:val="26"/>
              </w:rPr>
              <w:t>*_observation_gap_days</w:t>
            </w:r>
          </w:p>
        </w:tc>
        <w:tc>
          <w:tcPr>
            <w:tcW w:type="dxa" w:w="3000"/>
            <w:vAlign w:val="center"/>
          </w:tcPr>
          <w:p>
            <w:pPr>
              <w:spacing w:line="360" w:lineRule="auto" w:before="0" w:after="0"/>
            </w:pPr>
            <w:r>
              <w:rPr>
                <w:rFonts w:ascii="Times New Roman" w:hAnsi="Times New Roman"/>
                <w:color w:val="000000"/>
                <w:sz w:val="26"/>
              </w:rPr>
              <w:t>Số ngày giữa lần quan sát hiện tại và lần quan sát hợp lệ trước đó</w:t>
            </w:r>
          </w:p>
        </w:tc>
        <w:tc>
          <w:tcPr>
            <w:tcW w:type="dxa" w:w="3000"/>
            <w:vAlign w:val="center"/>
          </w:tcPr>
          <w:p>
            <w:pPr>
              <w:spacing w:line="360" w:lineRule="auto" w:before="0" w:after="0"/>
            </w:pPr>
            <w:r>
              <w:rPr>
                <w:rFonts w:ascii="Times New Roman" w:hAnsi="Times New Roman"/>
                <w:color w:val="000000"/>
                <w:sz w:val="26"/>
              </w:rPr>
              <w:t>Ngày</w:t>
            </w:r>
          </w:p>
        </w:tc>
      </w:tr>
    </w:tbl>
    <w:p>
      <w:pPr>
        <w:spacing w:line="360" w:lineRule="auto"/>
      </w:pPr>
      <w:r>
        <w:rPr>
          <w:rFonts w:ascii="Times New Roman" w:hAnsi="Times New Roman"/>
          <w:color w:val="000000"/>
          <w:sz w:val="26"/>
        </w:rPr>
        <w:t>Ký hiệu previous_observed là lần quan sát hợp lệ trước đó, không nhất thiết là ngày lịch liền kề. Trong Chương 3, các biến thay đổi vĩ mô được dùng để mô tả liên hệ có điều kiện trong VAR/LP; US2Y, DXY và VIX không được xem mặc nhiên là cú sốc ngoại sinh đã nhận diện. Trong Chương 4, biến mục tiêu là độ lớn lợi suất ngày kế tiếp, y_(t+1) = |r_(t+1)|, đơn vị điểm phần trăm; đây là proxy cho độ lớn biến động ngày, không phải phương sai thực hiện, VaR hay ES.</w:t>
      </w:r>
    </w:p>
    <w:p>
      <w:pPr>
        <w:pStyle w:val="Heading1"/>
        <w:spacing w:line="360" w:lineRule="auto"/>
      </w:pPr>
      <w:r>
        <w:rPr>
          <w:rFonts w:ascii="Times New Roman" w:hAnsi="Times New Roman"/>
          <w:b/>
          <w:color w:val="000000"/>
          <w:sz w:val="26"/>
        </w:rPr>
        <w:t>2.5. Kiểm tra chất lượng dữ liệu</w:t>
      </w:r>
    </w:p>
    <w:tbl>
      <w:tblPr>
        <w:tblStyle w:val="TableGrid"/>
        <w:tblW w:type="auto" w:w="0"/>
        <w:jc w:val="center"/>
        <w:tblLayout w:type="autofit"/>
        <w:tblLook w:firstColumn="1" w:firstRow="1" w:lastColumn="0" w:lastRow="0" w:noHBand="0" w:noVBand="1" w:val="04A0"/>
      </w:tblPr>
      <w:tblGrid>
        <w:gridCol w:w="2250"/>
        <w:gridCol w:w="2250"/>
        <w:gridCol w:w="2250"/>
        <w:gridCol w:w="2250"/>
      </w:tblGrid>
      <w:tr>
        <w:tc>
          <w:tcPr>
            <w:tcW w:type="dxa" w:w="2250"/>
            <w:vAlign w:val="center"/>
          </w:tcPr>
          <w:p>
            <w:pPr>
              <w:spacing w:line="360" w:lineRule="auto" w:before="0" w:after="0"/>
            </w:pPr>
            <w:r>
              <w:rPr>
                <w:rFonts w:ascii="Times New Roman" w:hAnsi="Times New Roman"/>
                <w:b/>
                <w:color w:val="000000"/>
                <w:sz w:val="26"/>
              </w:rPr>
              <w:t>Biến</w:t>
            </w:r>
          </w:p>
        </w:tc>
        <w:tc>
          <w:tcPr>
            <w:tcW w:type="dxa" w:w="2250"/>
            <w:vAlign w:val="center"/>
          </w:tcPr>
          <w:p>
            <w:pPr>
              <w:spacing w:line="360" w:lineRule="auto" w:before="0" w:after="0"/>
            </w:pPr>
            <w:r>
              <w:rPr>
                <w:rFonts w:ascii="Times New Roman" w:hAnsi="Times New Roman"/>
                <w:b/>
                <w:color w:val="000000"/>
                <w:sz w:val="26"/>
              </w:rPr>
              <w:t>Hợp lệ</w:t>
            </w:r>
          </w:p>
        </w:tc>
        <w:tc>
          <w:tcPr>
            <w:tcW w:type="dxa" w:w="2250"/>
            <w:vAlign w:val="center"/>
          </w:tcPr>
          <w:p>
            <w:pPr>
              <w:spacing w:line="360" w:lineRule="auto" w:before="0" w:after="0"/>
            </w:pPr>
            <w:r>
              <w:rPr>
                <w:rFonts w:ascii="Times New Roman" w:hAnsi="Times New Roman"/>
                <w:b/>
                <w:color w:val="000000"/>
                <w:sz w:val="26"/>
              </w:rPr>
              <w:t>Thiếu</w:t>
            </w:r>
          </w:p>
        </w:tc>
        <w:tc>
          <w:tcPr>
            <w:tcW w:type="dxa" w:w="2250"/>
            <w:vAlign w:val="center"/>
          </w:tcPr>
          <w:p>
            <w:pPr>
              <w:spacing w:line="360" w:lineRule="auto" w:before="0" w:after="0"/>
            </w:pPr>
            <w:r>
              <w:rPr>
                <w:rFonts w:ascii="Times New Roman" w:hAnsi="Times New Roman"/>
                <w:b/>
                <w:color w:val="000000"/>
                <w:sz w:val="26"/>
              </w:rPr>
              <w:t>Tỷ lệ thiếu</w:t>
            </w:r>
          </w:p>
        </w:tc>
      </w:tr>
      <w:tr>
        <w:tc>
          <w:tcPr>
            <w:tcW w:type="dxa" w:w="2250"/>
            <w:vAlign w:val="center"/>
          </w:tcPr>
          <w:p>
            <w:pPr>
              <w:spacing w:line="360" w:lineRule="auto" w:before="0" w:after="0"/>
            </w:pPr>
            <w:r>
              <w:rPr>
                <w:rFonts w:ascii="Times New Roman" w:hAnsi="Times New Roman"/>
                <w:color w:val="000000"/>
                <w:sz w:val="26"/>
              </w:rPr>
              <w:t>date</w:t>
            </w:r>
          </w:p>
        </w:tc>
        <w:tc>
          <w:tcPr>
            <w:tcW w:type="dxa" w:w="2250"/>
            <w:vAlign w:val="center"/>
          </w:tcPr>
          <w:p>
            <w:pPr>
              <w:spacing w:line="360" w:lineRule="auto" w:before="0" w:after="0"/>
            </w:pPr>
            <w:r>
              <w:rPr>
                <w:rFonts w:ascii="Times New Roman" w:hAnsi="Times New Roman"/>
                <w:color w:val="000000"/>
                <w:sz w:val="26"/>
              </w:rPr>
              <w:t>2,922</w:t>
            </w:r>
          </w:p>
        </w:tc>
        <w:tc>
          <w:tcPr>
            <w:tcW w:type="dxa" w:w="2250"/>
            <w:vAlign w:val="center"/>
          </w:tcPr>
          <w:p>
            <w:pPr>
              <w:spacing w:line="360" w:lineRule="auto" w:before="0" w:after="0"/>
            </w:pPr>
            <w:r>
              <w:rPr>
                <w:rFonts w:ascii="Times New Roman" w:hAnsi="Times New Roman"/>
                <w:color w:val="000000"/>
                <w:sz w:val="26"/>
              </w:rPr>
              <w:t>0</w:t>
            </w:r>
          </w:p>
        </w:tc>
        <w:tc>
          <w:tcPr>
            <w:tcW w:type="dxa" w:w="2250"/>
            <w:vAlign w:val="center"/>
          </w:tcPr>
          <w:p>
            <w:pPr>
              <w:spacing w:line="360" w:lineRule="auto" w:before="0" w:after="0"/>
            </w:pPr>
            <w:r>
              <w:rPr>
                <w:rFonts w:ascii="Times New Roman" w:hAnsi="Times New Roman"/>
                <w:color w:val="000000"/>
                <w:sz w:val="26"/>
              </w:rPr>
              <w:t>0.00%</w:t>
            </w:r>
          </w:p>
        </w:tc>
      </w:tr>
      <w:tr>
        <w:tc>
          <w:tcPr>
            <w:tcW w:type="dxa" w:w="2250"/>
            <w:vAlign w:val="center"/>
          </w:tcPr>
          <w:p>
            <w:pPr>
              <w:spacing w:line="360" w:lineRule="auto" w:before="0" w:after="0"/>
            </w:pPr>
            <w:r>
              <w:rPr>
                <w:rFonts w:ascii="Times New Roman" w:hAnsi="Times New Roman"/>
                <w:color w:val="000000"/>
                <w:sz w:val="26"/>
              </w:rPr>
              <w:t>BTC</w:t>
            </w:r>
          </w:p>
        </w:tc>
        <w:tc>
          <w:tcPr>
            <w:tcW w:type="dxa" w:w="2250"/>
            <w:vAlign w:val="center"/>
          </w:tcPr>
          <w:p>
            <w:pPr>
              <w:spacing w:line="360" w:lineRule="auto" w:before="0" w:after="0"/>
            </w:pPr>
            <w:r>
              <w:rPr>
                <w:rFonts w:ascii="Times New Roman" w:hAnsi="Times New Roman"/>
                <w:color w:val="000000"/>
                <w:sz w:val="26"/>
              </w:rPr>
              <w:t>2,922</w:t>
            </w:r>
          </w:p>
        </w:tc>
        <w:tc>
          <w:tcPr>
            <w:tcW w:type="dxa" w:w="2250"/>
            <w:vAlign w:val="center"/>
          </w:tcPr>
          <w:p>
            <w:pPr>
              <w:spacing w:line="360" w:lineRule="auto" w:before="0" w:after="0"/>
            </w:pPr>
            <w:r>
              <w:rPr>
                <w:rFonts w:ascii="Times New Roman" w:hAnsi="Times New Roman"/>
                <w:color w:val="000000"/>
                <w:sz w:val="26"/>
              </w:rPr>
              <w:t>0</w:t>
            </w:r>
          </w:p>
        </w:tc>
        <w:tc>
          <w:tcPr>
            <w:tcW w:type="dxa" w:w="2250"/>
            <w:vAlign w:val="center"/>
          </w:tcPr>
          <w:p>
            <w:pPr>
              <w:spacing w:line="360" w:lineRule="auto" w:before="0" w:after="0"/>
            </w:pPr>
            <w:r>
              <w:rPr>
                <w:rFonts w:ascii="Times New Roman" w:hAnsi="Times New Roman"/>
                <w:color w:val="000000"/>
                <w:sz w:val="26"/>
              </w:rPr>
              <w:t>0.00%</w:t>
            </w:r>
          </w:p>
        </w:tc>
      </w:tr>
      <w:tr>
        <w:tc>
          <w:tcPr>
            <w:tcW w:type="dxa" w:w="2250"/>
            <w:vAlign w:val="center"/>
          </w:tcPr>
          <w:p>
            <w:pPr>
              <w:spacing w:line="360" w:lineRule="auto" w:before="0" w:after="0"/>
            </w:pPr>
            <w:r>
              <w:rPr>
                <w:rFonts w:ascii="Times New Roman" w:hAnsi="Times New Roman"/>
                <w:color w:val="000000"/>
                <w:sz w:val="26"/>
              </w:rPr>
              <w:t>ETH</w:t>
            </w:r>
          </w:p>
        </w:tc>
        <w:tc>
          <w:tcPr>
            <w:tcW w:type="dxa" w:w="2250"/>
            <w:vAlign w:val="center"/>
          </w:tcPr>
          <w:p>
            <w:pPr>
              <w:spacing w:line="360" w:lineRule="auto" w:before="0" w:after="0"/>
            </w:pPr>
            <w:r>
              <w:rPr>
                <w:rFonts w:ascii="Times New Roman" w:hAnsi="Times New Roman"/>
                <w:color w:val="000000"/>
                <w:sz w:val="26"/>
              </w:rPr>
              <w:t>2,922</w:t>
            </w:r>
          </w:p>
        </w:tc>
        <w:tc>
          <w:tcPr>
            <w:tcW w:type="dxa" w:w="2250"/>
            <w:vAlign w:val="center"/>
          </w:tcPr>
          <w:p>
            <w:pPr>
              <w:spacing w:line="360" w:lineRule="auto" w:before="0" w:after="0"/>
            </w:pPr>
            <w:r>
              <w:rPr>
                <w:rFonts w:ascii="Times New Roman" w:hAnsi="Times New Roman"/>
                <w:color w:val="000000"/>
                <w:sz w:val="26"/>
              </w:rPr>
              <w:t>0</w:t>
            </w:r>
          </w:p>
        </w:tc>
        <w:tc>
          <w:tcPr>
            <w:tcW w:type="dxa" w:w="2250"/>
            <w:vAlign w:val="center"/>
          </w:tcPr>
          <w:p>
            <w:pPr>
              <w:spacing w:line="360" w:lineRule="auto" w:before="0" w:after="0"/>
            </w:pPr>
            <w:r>
              <w:rPr>
                <w:rFonts w:ascii="Times New Roman" w:hAnsi="Times New Roman"/>
                <w:color w:val="000000"/>
                <w:sz w:val="26"/>
              </w:rPr>
              <w:t>0.00%</w:t>
            </w:r>
          </w:p>
        </w:tc>
      </w:tr>
      <w:tr>
        <w:tc>
          <w:tcPr>
            <w:tcW w:type="dxa" w:w="2250"/>
            <w:vAlign w:val="center"/>
          </w:tcPr>
          <w:p>
            <w:pPr>
              <w:spacing w:line="360" w:lineRule="auto" w:before="0" w:after="0"/>
            </w:pPr>
            <w:r>
              <w:rPr>
                <w:rFonts w:ascii="Times New Roman" w:hAnsi="Times New Roman"/>
                <w:color w:val="000000"/>
                <w:sz w:val="26"/>
              </w:rPr>
              <w:t>US2Y</w:t>
            </w:r>
          </w:p>
        </w:tc>
        <w:tc>
          <w:tcPr>
            <w:tcW w:type="dxa" w:w="2250"/>
            <w:vAlign w:val="center"/>
          </w:tcPr>
          <w:p>
            <w:pPr>
              <w:spacing w:line="360" w:lineRule="auto" w:before="0" w:after="0"/>
            </w:pPr>
            <w:r>
              <w:rPr>
                <w:rFonts w:ascii="Times New Roman" w:hAnsi="Times New Roman"/>
                <w:color w:val="000000"/>
                <w:sz w:val="26"/>
              </w:rPr>
              <w:t>1,999</w:t>
            </w:r>
          </w:p>
        </w:tc>
        <w:tc>
          <w:tcPr>
            <w:tcW w:type="dxa" w:w="2250"/>
            <w:vAlign w:val="center"/>
          </w:tcPr>
          <w:p>
            <w:pPr>
              <w:spacing w:line="360" w:lineRule="auto" w:before="0" w:after="0"/>
            </w:pPr>
            <w:r>
              <w:rPr>
                <w:rFonts w:ascii="Times New Roman" w:hAnsi="Times New Roman"/>
                <w:color w:val="000000"/>
                <w:sz w:val="26"/>
              </w:rPr>
              <w:t>923</w:t>
            </w:r>
          </w:p>
        </w:tc>
        <w:tc>
          <w:tcPr>
            <w:tcW w:type="dxa" w:w="2250"/>
            <w:vAlign w:val="center"/>
          </w:tcPr>
          <w:p>
            <w:pPr>
              <w:spacing w:line="360" w:lineRule="auto" w:before="0" w:after="0"/>
            </w:pPr>
            <w:r>
              <w:rPr>
                <w:rFonts w:ascii="Times New Roman" w:hAnsi="Times New Roman"/>
                <w:color w:val="000000"/>
                <w:sz w:val="26"/>
              </w:rPr>
              <w:t>31.59%</w:t>
            </w:r>
          </w:p>
        </w:tc>
      </w:tr>
      <w:tr>
        <w:tc>
          <w:tcPr>
            <w:tcW w:type="dxa" w:w="2250"/>
            <w:vAlign w:val="center"/>
          </w:tcPr>
          <w:p>
            <w:pPr>
              <w:spacing w:line="360" w:lineRule="auto" w:before="0" w:after="0"/>
            </w:pPr>
            <w:r>
              <w:rPr>
                <w:rFonts w:ascii="Times New Roman" w:hAnsi="Times New Roman"/>
                <w:color w:val="000000"/>
                <w:sz w:val="26"/>
              </w:rPr>
              <w:t>DXY</w:t>
            </w:r>
          </w:p>
        </w:tc>
        <w:tc>
          <w:tcPr>
            <w:tcW w:type="dxa" w:w="2250"/>
            <w:vAlign w:val="center"/>
          </w:tcPr>
          <w:p>
            <w:pPr>
              <w:spacing w:line="360" w:lineRule="auto" w:before="0" w:after="0"/>
            </w:pPr>
            <w:r>
              <w:rPr>
                <w:rFonts w:ascii="Times New Roman" w:hAnsi="Times New Roman"/>
                <w:color w:val="000000"/>
                <w:sz w:val="26"/>
              </w:rPr>
              <w:t>2,013</w:t>
            </w:r>
          </w:p>
        </w:tc>
        <w:tc>
          <w:tcPr>
            <w:tcW w:type="dxa" w:w="2250"/>
            <w:vAlign w:val="center"/>
          </w:tcPr>
          <w:p>
            <w:pPr>
              <w:spacing w:line="360" w:lineRule="auto" w:before="0" w:after="0"/>
            </w:pPr>
            <w:r>
              <w:rPr>
                <w:rFonts w:ascii="Times New Roman" w:hAnsi="Times New Roman"/>
                <w:color w:val="000000"/>
                <w:sz w:val="26"/>
              </w:rPr>
              <w:t>909</w:t>
            </w:r>
          </w:p>
        </w:tc>
        <w:tc>
          <w:tcPr>
            <w:tcW w:type="dxa" w:w="2250"/>
            <w:vAlign w:val="center"/>
          </w:tcPr>
          <w:p>
            <w:pPr>
              <w:spacing w:line="360" w:lineRule="auto" w:before="0" w:after="0"/>
            </w:pPr>
            <w:r>
              <w:rPr>
                <w:rFonts w:ascii="Times New Roman" w:hAnsi="Times New Roman"/>
                <w:color w:val="000000"/>
                <w:sz w:val="26"/>
              </w:rPr>
              <w:t>31.11%</w:t>
            </w:r>
          </w:p>
        </w:tc>
      </w:tr>
      <w:tr>
        <w:tc>
          <w:tcPr>
            <w:tcW w:type="dxa" w:w="2250"/>
            <w:vAlign w:val="center"/>
          </w:tcPr>
          <w:p>
            <w:pPr>
              <w:spacing w:line="360" w:lineRule="auto" w:before="0" w:after="0"/>
            </w:pPr>
            <w:r>
              <w:rPr>
                <w:rFonts w:ascii="Times New Roman" w:hAnsi="Times New Roman"/>
                <w:color w:val="000000"/>
                <w:sz w:val="26"/>
              </w:rPr>
              <w:t>VIX</w:t>
            </w:r>
          </w:p>
        </w:tc>
        <w:tc>
          <w:tcPr>
            <w:tcW w:type="dxa" w:w="2250"/>
            <w:vAlign w:val="center"/>
          </w:tcPr>
          <w:p>
            <w:pPr>
              <w:spacing w:line="360" w:lineRule="auto" w:before="0" w:after="0"/>
            </w:pPr>
            <w:r>
              <w:rPr>
                <w:rFonts w:ascii="Times New Roman" w:hAnsi="Times New Roman"/>
                <w:color w:val="000000"/>
                <w:sz w:val="26"/>
              </w:rPr>
              <w:t>2,011</w:t>
            </w:r>
          </w:p>
        </w:tc>
        <w:tc>
          <w:tcPr>
            <w:tcW w:type="dxa" w:w="2250"/>
            <w:vAlign w:val="center"/>
          </w:tcPr>
          <w:p>
            <w:pPr>
              <w:spacing w:line="360" w:lineRule="auto" w:before="0" w:after="0"/>
            </w:pPr>
            <w:r>
              <w:rPr>
                <w:rFonts w:ascii="Times New Roman" w:hAnsi="Times New Roman"/>
                <w:color w:val="000000"/>
                <w:sz w:val="26"/>
              </w:rPr>
              <w:t>911</w:t>
            </w:r>
          </w:p>
        </w:tc>
        <w:tc>
          <w:tcPr>
            <w:tcW w:type="dxa" w:w="2250"/>
            <w:vAlign w:val="center"/>
          </w:tcPr>
          <w:p>
            <w:pPr>
              <w:spacing w:line="360" w:lineRule="auto" w:before="0" w:after="0"/>
            </w:pPr>
            <w:r>
              <w:rPr>
                <w:rFonts w:ascii="Times New Roman" w:hAnsi="Times New Roman"/>
                <w:color w:val="000000"/>
                <w:sz w:val="26"/>
              </w:rPr>
              <w:t>31.18%</w:t>
            </w:r>
          </w:p>
        </w:tc>
      </w:tr>
      <w:tr>
        <w:tc>
          <w:tcPr>
            <w:tcW w:type="dxa" w:w="2250"/>
            <w:vAlign w:val="center"/>
          </w:tcPr>
          <w:p>
            <w:pPr>
              <w:spacing w:line="360" w:lineRule="auto" w:before="0" w:after="0"/>
            </w:pPr>
            <w:r>
              <w:rPr>
                <w:rFonts w:ascii="Times New Roman" w:hAnsi="Times New Roman"/>
                <w:color w:val="000000"/>
                <w:sz w:val="26"/>
              </w:rPr>
              <w:t>BTC_log_return_pct</w:t>
            </w:r>
          </w:p>
        </w:tc>
        <w:tc>
          <w:tcPr>
            <w:tcW w:type="dxa" w:w="2250"/>
            <w:vAlign w:val="center"/>
          </w:tcPr>
          <w:p>
            <w:pPr>
              <w:spacing w:line="360" w:lineRule="auto" w:before="0" w:after="0"/>
            </w:pPr>
            <w:r>
              <w:rPr>
                <w:rFonts w:ascii="Times New Roman" w:hAnsi="Times New Roman"/>
                <w:color w:val="000000"/>
                <w:sz w:val="26"/>
              </w:rPr>
              <w:t>2,921</w:t>
            </w:r>
          </w:p>
        </w:tc>
        <w:tc>
          <w:tcPr>
            <w:tcW w:type="dxa" w:w="2250"/>
            <w:vAlign w:val="center"/>
          </w:tcPr>
          <w:p>
            <w:pPr>
              <w:spacing w:line="360" w:lineRule="auto" w:before="0" w:after="0"/>
            </w:pPr>
            <w:r>
              <w:rPr>
                <w:rFonts w:ascii="Times New Roman" w:hAnsi="Times New Roman"/>
                <w:color w:val="000000"/>
                <w:sz w:val="26"/>
              </w:rPr>
              <w:t>1</w:t>
            </w:r>
          </w:p>
        </w:tc>
        <w:tc>
          <w:tcPr>
            <w:tcW w:type="dxa" w:w="2250"/>
            <w:vAlign w:val="center"/>
          </w:tcPr>
          <w:p>
            <w:pPr>
              <w:spacing w:line="360" w:lineRule="auto" w:before="0" w:after="0"/>
            </w:pPr>
            <w:r>
              <w:rPr>
                <w:rFonts w:ascii="Times New Roman" w:hAnsi="Times New Roman"/>
                <w:color w:val="000000"/>
                <w:sz w:val="26"/>
              </w:rPr>
              <w:t>0.03%</w:t>
            </w:r>
          </w:p>
        </w:tc>
      </w:tr>
      <w:tr>
        <w:tc>
          <w:tcPr>
            <w:tcW w:type="dxa" w:w="2250"/>
            <w:vAlign w:val="center"/>
          </w:tcPr>
          <w:p>
            <w:pPr>
              <w:spacing w:line="360" w:lineRule="auto" w:before="0" w:after="0"/>
            </w:pPr>
            <w:r>
              <w:rPr>
                <w:rFonts w:ascii="Times New Roman" w:hAnsi="Times New Roman"/>
                <w:color w:val="000000"/>
                <w:sz w:val="26"/>
              </w:rPr>
              <w:t>ETH_log_return_pct</w:t>
            </w:r>
          </w:p>
        </w:tc>
        <w:tc>
          <w:tcPr>
            <w:tcW w:type="dxa" w:w="2250"/>
            <w:vAlign w:val="center"/>
          </w:tcPr>
          <w:p>
            <w:pPr>
              <w:spacing w:line="360" w:lineRule="auto" w:before="0" w:after="0"/>
            </w:pPr>
            <w:r>
              <w:rPr>
                <w:rFonts w:ascii="Times New Roman" w:hAnsi="Times New Roman"/>
                <w:color w:val="000000"/>
                <w:sz w:val="26"/>
              </w:rPr>
              <w:t>2,921</w:t>
            </w:r>
          </w:p>
        </w:tc>
        <w:tc>
          <w:tcPr>
            <w:tcW w:type="dxa" w:w="2250"/>
            <w:vAlign w:val="center"/>
          </w:tcPr>
          <w:p>
            <w:pPr>
              <w:spacing w:line="360" w:lineRule="auto" w:before="0" w:after="0"/>
            </w:pPr>
            <w:r>
              <w:rPr>
                <w:rFonts w:ascii="Times New Roman" w:hAnsi="Times New Roman"/>
                <w:color w:val="000000"/>
                <w:sz w:val="26"/>
              </w:rPr>
              <w:t>1</w:t>
            </w:r>
          </w:p>
        </w:tc>
        <w:tc>
          <w:tcPr>
            <w:tcW w:type="dxa" w:w="2250"/>
            <w:vAlign w:val="center"/>
          </w:tcPr>
          <w:p>
            <w:pPr>
              <w:spacing w:line="360" w:lineRule="auto" w:before="0" w:after="0"/>
            </w:pPr>
            <w:r>
              <w:rPr>
                <w:rFonts w:ascii="Times New Roman" w:hAnsi="Times New Roman"/>
                <w:color w:val="000000"/>
                <w:sz w:val="26"/>
              </w:rPr>
              <w:t>0.03%</w:t>
            </w:r>
          </w:p>
        </w:tc>
      </w:tr>
      <w:tr>
        <w:tc>
          <w:tcPr>
            <w:tcW w:type="dxa" w:w="2250"/>
            <w:vAlign w:val="center"/>
          </w:tcPr>
          <w:p>
            <w:pPr>
              <w:spacing w:line="360" w:lineRule="auto" w:before="0" w:after="0"/>
            </w:pPr>
            <w:r>
              <w:rPr>
                <w:rFonts w:ascii="Times New Roman" w:hAnsi="Times New Roman"/>
                <w:color w:val="000000"/>
                <w:sz w:val="26"/>
              </w:rPr>
              <w:t>US2Y_change_pp</w:t>
            </w:r>
          </w:p>
        </w:tc>
        <w:tc>
          <w:tcPr>
            <w:tcW w:type="dxa" w:w="2250"/>
            <w:vAlign w:val="center"/>
          </w:tcPr>
          <w:p>
            <w:pPr>
              <w:spacing w:line="360" w:lineRule="auto" w:before="0" w:after="0"/>
            </w:pPr>
            <w:r>
              <w:rPr>
                <w:rFonts w:ascii="Times New Roman" w:hAnsi="Times New Roman"/>
                <w:color w:val="000000"/>
                <w:sz w:val="26"/>
              </w:rPr>
              <w:t>1,998</w:t>
            </w:r>
          </w:p>
        </w:tc>
        <w:tc>
          <w:tcPr>
            <w:tcW w:type="dxa" w:w="2250"/>
            <w:vAlign w:val="center"/>
          </w:tcPr>
          <w:p>
            <w:pPr>
              <w:spacing w:line="360" w:lineRule="auto" w:before="0" w:after="0"/>
            </w:pPr>
            <w:r>
              <w:rPr>
                <w:rFonts w:ascii="Times New Roman" w:hAnsi="Times New Roman"/>
                <w:color w:val="000000"/>
                <w:sz w:val="26"/>
              </w:rPr>
              <w:t>924</w:t>
            </w:r>
          </w:p>
        </w:tc>
        <w:tc>
          <w:tcPr>
            <w:tcW w:type="dxa" w:w="2250"/>
            <w:vAlign w:val="center"/>
          </w:tcPr>
          <w:p>
            <w:pPr>
              <w:spacing w:line="360" w:lineRule="auto" w:before="0" w:after="0"/>
            </w:pPr>
            <w:r>
              <w:rPr>
                <w:rFonts w:ascii="Times New Roman" w:hAnsi="Times New Roman"/>
                <w:color w:val="000000"/>
                <w:sz w:val="26"/>
              </w:rPr>
              <w:t>31.62%</w:t>
            </w:r>
          </w:p>
        </w:tc>
      </w:tr>
      <w:tr>
        <w:tc>
          <w:tcPr>
            <w:tcW w:type="dxa" w:w="2250"/>
            <w:vAlign w:val="center"/>
          </w:tcPr>
          <w:p>
            <w:pPr>
              <w:spacing w:line="360" w:lineRule="auto" w:before="0" w:after="0"/>
            </w:pPr>
            <w:r>
              <w:rPr>
                <w:rFonts w:ascii="Times New Roman" w:hAnsi="Times New Roman"/>
                <w:color w:val="000000"/>
                <w:sz w:val="26"/>
              </w:rPr>
              <w:t>US2Y_observation_gap_days</w:t>
            </w:r>
          </w:p>
        </w:tc>
        <w:tc>
          <w:tcPr>
            <w:tcW w:type="dxa" w:w="2250"/>
            <w:vAlign w:val="center"/>
          </w:tcPr>
          <w:p>
            <w:pPr>
              <w:spacing w:line="360" w:lineRule="auto" w:before="0" w:after="0"/>
            </w:pPr>
            <w:r>
              <w:rPr>
                <w:rFonts w:ascii="Times New Roman" w:hAnsi="Times New Roman"/>
                <w:color w:val="000000"/>
                <w:sz w:val="26"/>
              </w:rPr>
              <w:t>1,998</w:t>
            </w:r>
          </w:p>
        </w:tc>
        <w:tc>
          <w:tcPr>
            <w:tcW w:type="dxa" w:w="2250"/>
            <w:vAlign w:val="center"/>
          </w:tcPr>
          <w:p>
            <w:pPr>
              <w:spacing w:line="360" w:lineRule="auto" w:before="0" w:after="0"/>
            </w:pPr>
            <w:r>
              <w:rPr>
                <w:rFonts w:ascii="Times New Roman" w:hAnsi="Times New Roman"/>
                <w:color w:val="000000"/>
                <w:sz w:val="26"/>
              </w:rPr>
              <w:t>924</w:t>
            </w:r>
          </w:p>
        </w:tc>
        <w:tc>
          <w:tcPr>
            <w:tcW w:type="dxa" w:w="2250"/>
            <w:vAlign w:val="center"/>
          </w:tcPr>
          <w:p>
            <w:pPr>
              <w:spacing w:line="360" w:lineRule="auto" w:before="0" w:after="0"/>
            </w:pPr>
            <w:r>
              <w:rPr>
                <w:rFonts w:ascii="Times New Roman" w:hAnsi="Times New Roman"/>
                <w:color w:val="000000"/>
                <w:sz w:val="26"/>
              </w:rPr>
              <w:t>31.62%</w:t>
            </w:r>
          </w:p>
        </w:tc>
      </w:tr>
      <w:tr>
        <w:tc>
          <w:tcPr>
            <w:tcW w:type="dxa" w:w="2250"/>
            <w:vAlign w:val="center"/>
          </w:tcPr>
          <w:p>
            <w:pPr>
              <w:spacing w:line="360" w:lineRule="auto" w:before="0" w:after="0"/>
            </w:pPr>
            <w:r>
              <w:rPr>
                <w:rFonts w:ascii="Times New Roman" w:hAnsi="Times New Roman"/>
                <w:color w:val="000000"/>
                <w:sz w:val="26"/>
              </w:rPr>
              <w:t>US2Y_observed</w:t>
            </w:r>
          </w:p>
        </w:tc>
        <w:tc>
          <w:tcPr>
            <w:tcW w:type="dxa" w:w="2250"/>
            <w:vAlign w:val="center"/>
          </w:tcPr>
          <w:p>
            <w:pPr>
              <w:spacing w:line="360" w:lineRule="auto" w:before="0" w:after="0"/>
            </w:pPr>
            <w:r>
              <w:rPr>
                <w:rFonts w:ascii="Times New Roman" w:hAnsi="Times New Roman"/>
                <w:color w:val="000000"/>
                <w:sz w:val="26"/>
              </w:rPr>
              <w:t>2,922</w:t>
            </w:r>
          </w:p>
        </w:tc>
        <w:tc>
          <w:tcPr>
            <w:tcW w:type="dxa" w:w="2250"/>
            <w:vAlign w:val="center"/>
          </w:tcPr>
          <w:p>
            <w:pPr>
              <w:spacing w:line="360" w:lineRule="auto" w:before="0" w:after="0"/>
            </w:pPr>
            <w:r>
              <w:rPr>
                <w:rFonts w:ascii="Times New Roman" w:hAnsi="Times New Roman"/>
                <w:color w:val="000000"/>
                <w:sz w:val="26"/>
              </w:rPr>
              <w:t>0</w:t>
            </w:r>
          </w:p>
        </w:tc>
        <w:tc>
          <w:tcPr>
            <w:tcW w:type="dxa" w:w="2250"/>
            <w:vAlign w:val="center"/>
          </w:tcPr>
          <w:p>
            <w:pPr>
              <w:spacing w:line="360" w:lineRule="auto" w:before="0" w:after="0"/>
            </w:pPr>
            <w:r>
              <w:rPr>
                <w:rFonts w:ascii="Times New Roman" w:hAnsi="Times New Roman"/>
                <w:color w:val="000000"/>
                <w:sz w:val="26"/>
              </w:rPr>
              <w:t>0.00%</w:t>
            </w:r>
          </w:p>
        </w:tc>
      </w:tr>
      <w:tr>
        <w:tc>
          <w:tcPr>
            <w:tcW w:type="dxa" w:w="2250"/>
            <w:vAlign w:val="center"/>
          </w:tcPr>
          <w:p>
            <w:pPr>
              <w:spacing w:line="360" w:lineRule="auto" w:before="0" w:after="0"/>
            </w:pPr>
            <w:r>
              <w:rPr>
                <w:rFonts w:ascii="Times New Roman" w:hAnsi="Times New Roman"/>
                <w:color w:val="000000"/>
                <w:sz w:val="26"/>
              </w:rPr>
              <w:t>DXY_log_return_pct</w:t>
            </w:r>
          </w:p>
        </w:tc>
        <w:tc>
          <w:tcPr>
            <w:tcW w:type="dxa" w:w="2250"/>
            <w:vAlign w:val="center"/>
          </w:tcPr>
          <w:p>
            <w:pPr>
              <w:spacing w:line="360" w:lineRule="auto" w:before="0" w:after="0"/>
            </w:pPr>
            <w:r>
              <w:rPr>
                <w:rFonts w:ascii="Times New Roman" w:hAnsi="Times New Roman"/>
                <w:color w:val="000000"/>
                <w:sz w:val="26"/>
              </w:rPr>
              <w:t>2,012</w:t>
            </w:r>
          </w:p>
        </w:tc>
        <w:tc>
          <w:tcPr>
            <w:tcW w:type="dxa" w:w="2250"/>
            <w:vAlign w:val="center"/>
          </w:tcPr>
          <w:p>
            <w:pPr>
              <w:spacing w:line="360" w:lineRule="auto" w:before="0" w:after="0"/>
            </w:pPr>
            <w:r>
              <w:rPr>
                <w:rFonts w:ascii="Times New Roman" w:hAnsi="Times New Roman"/>
                <w:color w:val="000000"/>
                <w:sz w:val="26"/>
              </w:rPr>
              <w:t>910</w:t>
            </w:r>
          </w:p>
        </w:tc>
        <w:tc>
          <w:tcPr>
            <w:tcW w:type="dxa" w:w="2250"/>
            <w:vAlign w:val="center"/>
          </w:tcPr>
          <w:p>
            <w:pPr>
              <w:spacing w:line="360" w:lineRule="auto" w:before="0" w:after="0"/>
            </w:pPr>
            <w:r>
              <w:rPr>
                <w:rFonts w:ascii="Times New Roman" w:hAnsi="Times New Roman"/>
                <w:color w:val="000000"/>
                <w:sz w:val="26"/>
              </w:rPr>
              <w:t>31.14%</w:t>
            </w:r>
          </w:p>
        </w:tc>
      </w:tr>
      <w:tr>
        <w:tc>
          <w:tcPr>
            <w:tcW w:type="dxa" w:w="2250"/>
            <w:vAlign w:val="center"/>
          </w:tcPr>
          <w:p>
            <w:pPr>
              <w:spacing w:line="360" w:lineRule="auto" w:before="0" w:after="0"/>
            </w:pPr>
            <w:r>
              <w:rPr>
                <w:rFonts w:ascii="Times New Roman" w:hAnsi="Times New Roman"/>
                <w:color w:val="000000"/>
                <w:sz w:val="26"/>
              </w:rPr>
              <w:t>DXY_observation_gap_days</w:t>
            </w:r>
          </w:p>
        </w:tc>
        <w:tc>
          <w:tcPr>
            <w:tcW w:type="dxa" w:w="2250"/>
            <w:vAlign w:val="center"/>
          </w:tcPr>
          <w:p>
            <w:pPr>
              <w:spacing w:line="360" w:lineRule="auto" w:before="0" w:after="0"/>
            </w:pPr>
            <w:r>
              <w:rPr>
                <w:rFonts w:ascii="Times New Roman" w:hAnsi="Times New Roman"/>
                <w:color w:val="000000"/>
                <w:sz w:val="26"/>
              </w:rPr>
              <w:t>2,012</w:t>
            </w:r>
          </w:p>
        </w:tc>
        <w:tc>
          <w:tcPr>
            <w:tcW w:type="dxa" w:w="2250"/>
            <w:vAlign w:val="center"/>
          </w:tcPr>
          <w:p>
            <w:pPr>
              <w:spacing w:line="360" w:lineRule="auto" w:before="0" w:after="0"/>
            </w:pPr>
            <w:r>
              <w:rPr>
                <w:rFonts w:ascii="Times New Roman" w:hAnsi="Times New Roman"/>
                <w:color w:val="000000"/>
                <w:sz w:val="26"/>
              </w:rPr>
              <w:t>910</w:t>
            </w:r>
          </w:p>
        </w:tc>
        <w:tc>
          <w:tcPr>
            <w:tcW w:type="dxa" w:w="2250"/>
            <w:vAlign w:val="center"/>
          </w:tcPr>
          <w:p>
            <w:pPr>
              <w:spacing w:line="360" w:lineRule="auto" w:before="0" w:after="0"/>
            </w:pPr>
            <w:r>
              <w:rPr>
                <w:rFonts w:ascii="Times New Roman" w:hAnsi="Times New Roman"/>
                <w:color w:val="000000"/>
                <w:sz w:val="26"/>
              </w:rPr>
              <w:t>31.14%</w:t>
            </w:r>
          </w:p>
        </w:tc>
      </w:tr>
      <w:tr>
        <w:tc>
          <w:tcPr>
            <w:tcW w:type="dxa" w:w="2250"/>
            <w:vAlign w:val="center"/>
          </w:tcPr>
          <w:p>
            <w:pPr>
              <w:spacing w:line="360" w:lineRule="auto" w:before="0" w:after="0"/>
            </w:pPr>
            <w:r>
              <w:rPr>
                <w:rFonts w:ascii="Times New Roman" w:hAnsi="Times New Roman"/>
                <w:color w:val="000000"/>
                <w:sz w:val="26"/>
              </w:rPr>
              <w:t>DXY_observed</w:t>
            </w:r>
          </w:p>
        </w:tc>
        <w:tc>
          <w:tcPr>
            <w:tcW w:type="dxa" w:w="2250"/>
            <w:vAlign w:val="center"/>
          </w:tcPr>
          <w:p>
            <w:pPr>
              <w:spacing w:line="360" w:lineRule="auto" w:before="0" w:after="0"/>
            </w:pPr>
            <w:r>
              <w:rPr>
                <w:rFonts w:ascii="Times New Roman" w:hAnsi="Times New Roman"/>
                <w:color w:val="000000"/>
                <w:sz w:val="26"/>
              </w:rPr>
              <w:t>2,922</w:t>
            </w:r>
          </w:p>
        </w:tc>
        <w:tc>
          <w:tcPr>
            <w:tcW w:type="dxa" w:w="2250"/>
            <w:vAlign w:val="center"/>
          </w:tcPr>
          <w:p>
            <w:pPr>
              <w:spacing w:line="360" w:lineRule="auto" w:before="0" w:after="0"/>
            </w:pPr>
            <w:r>
              <w:rPr>
                <w:rFonts w:ascii="Times New Roman" w:hAnsi="Times New Roman"/>
                <w:color w:val="000000"/>
                <w:sz w:val="26"/>
              </w:rPr>
              <w:t>0</w:t>
            </w:r>
          </w:p>
        </w:tc>
        <w:tc>
          <w:tcPr>
            <w:tcW w:type="dxa" w:w="2250"/>
            <w:vAlign w:val="center"/>
          </w:tcPr>
          <w:p>
            <w:pPr>
              <w:spacing w:line="360" w:lineRule="auto" w:before="0" w:after="0"/>
            </w:pPr>
            <w:r>
              <w:rPr>
                <w:rFonts w:ascii="Times New Roman" w:hAnsi="Times New Roman"/>
                <w:color w:val="000000"/>
                <w:sz w:val="26"/>
              </w:rPr>
              <w:t>0.00%</w:t>
            </w:r>
          </w:p>
        </w:tc>
      </w:tr>
      <w:tr>
        <w:tc>
          <w:tcPr>
            <w:tcW w:type="dxa" w:w="2250"/>
            <w:vAlign w:val="center"/>
          </w:tcPr>
          <w:p>
            <w:pPr>
              <w:spacing w:line="360" w:lineRule="auto" w:before="0" w:after="0"/>
            </w:pPr>
            <w:r>
              <w:rPr>
                <w:rFonts w:ascii="Times New Roman" w:hAnsi="Times New Roman"/>
                <w:color w:val="000000"/>
                <w:sz w:val="26"/>
              </w:rPr>
              <w:t>VIX_change_points</w:t>
            </w:r>
          </w:p>
        </w:tc>
        <w:tc>
          <w:tcPr>
            <w:tcW w:type="dxa" w:w="2250"/>
            <w:vAlign w:val="center"/>
          </w:tcPr>
          <w:p>
            <w:pPr>
              <w:spacing w:line="360" w:lineRule="auto" w:before="0" w:after="0"/>
            </w:pPr>
            <w:r>
              <w:rPr>
                <w:rFonts w:ascii="Times New Roman" w:hAnsi="Times New Roman"/>
                <w:color w:val="000000"/>
                <w:sz w:val="26"/>
              </w:rPr>
              <w:t>2,010</w:t>
            </w:r>
          </w:p>
        </w:tc>
        <w:tc>
          <w:tcPr>
            <w:tcW w:type="dxa" w:w="2250"/>
            <w:vAlign w:val="center"/>
          </w:tcPr>
          <w:p>
            <w:pPr>
              <w:spacing w:line="360" w:lineRule="auto" w:before="0" w:after="0"/>
            </w:pPr>
            <w:r>
              <w:rPr>
                <w:rFonts w:ascii="Times New Roman" w:hAnsi="Times New Roman"/>
                <w:color w:val="000000"/>
                <w:sz w:val="26"/>
              </w:rPr>
              <w:t>912</w:t>
            </w:r>
          </w:p>
        </w:tc>
        <w:tc>
          <w:tcPr>
            <w:tcW w:type="dxa" w:w="2250"/>
            <w:vAlign w:val="center"/>
          </w:tcPr>
          <w:p>
            <w:pPr>
              <w:spacing w:line="360" w:lineRule="auto" w:before="0" w:after="0"/>
            </w:pPr>
            <w:r>
              <w:rPr>
                <w:rFonts w:ascii="Times New Roman" w:hAnsi="Times New Roman"/>
                <w:color w:val="000000"/>
                <w:sz w:val="26"/>
              </w:rPr>
              <w:t>31.21%</w:t>
            </w:r>
          </w:p>
        </w:tc>
      </w:tr>
      <w:tr>
        <w:tc>
          <w:tcPr>
            <w:tcW w:type="dxa" w:w="2250"/>
            <w:vAlign w:val="center"/>
          </w:tcPr>
          <w:p>
            <w:pPr>
              <w:spacing w:line="360" w:lineRule="auto" w:before="0" w:after="0"/>
            </w:pPr>
            <w:r>
              <w:rPr>
                <w:rFonts w:ascii="Times New Roman" w:hAnsi="Times New Roman"/>
                <w:color w:val="000000"/>
                <w:sz w:val="26"/>
              </w:rPr>
              <w:t>VIX_observation_gap_days</w:t>
            </w:r>
          </w:p>
        </w:tc>
        <w:tc>
          <w:tcPr>
            <w:tcW w:type="dxa" w:w="2250"/>
            <w:vAlign w:val="center"/>
          </w:tcPr>
          <w:p>
            <w:pPr>
              <w:spacing w:line="360" w:lineRule="auto" w:before="0" w:after="0"/>
            </w:pPr>
            <w:r>
              <w:rPr>
                <w:rFonts w:ascii="Times New Roman" w:hAnsi="Times New Roman"/>
                <w:color w:val="000000"/>
                <w:sz w:val="26"/>
              </w:rPr>
              <w:t>2,010</w:t>
            </w:r>
          </w:p>
        </w:tc>
        <w:tc>
          <w:tcPr>
            <w:tcW w:type="dxa" w:w="2250"/>
            <w:vAlign w:val="center"/>
          </w:tcPr>
          <w:p>
            <w:pPr>
              <w:spacing w:line="360" w:lineRule="auto" w:before="0" w:after="0"/>
            </w:pPr>
            <w:r>
              <w:rPr>
                <w:rFonts w:ascii="Times New Roman" w:hAnsi="Times New Roman"/>
                <w:color w:val="000000"/>
                <w:sz w:val="26"/>
              </w:rPr>
              <w:t>912</w:t>
            </w:r>
          </w:p>
        </w:tc>
        <w:tc>
          <w:tcPr>
            <w:tcW w:type="dxa" w:w="2250"/>
            <w:vAlign w:val="center"/>
          </w:tcPr>
          <w:p>
            <w:pPr>
              <w:spacing w:line="360" w:lineRule="auto" w:before="0" w:after="0"/>
            </w:pPr>
            <w:r>
              <w:rPr>
                <w:rFonts w:ascii="Times New Roman" w:hAnsi="Times New Roman"/>
                <w:color w:val="000000"/>
                <w:sz w:val="26"/>
              </w:rPr>
              <w:t>31.21%</w:t>
            </w:r>
          </w:p>
        </w:tc>
      </w:tr>
      <w:tr>
        <w:tc>
          <w:tcPr>
            <w:tcW w:type="dxa" w:w="2250"/>
            <w:vAlign w:val="center"/>
          </w:tcPr>
          <w:p>
            <w:pPr>
              <w:spacing w:line="360" w:lineRule="auto" w:before="0" w:after="0"/>
            </w:pPr>
            <w:r>
              <w:rPr>
                <w:rFonts w:ascii="Times New Roman" w:hAnsi="Times New Roman"/>
                <w:color w:val="000000"/>
                <w:sz w:val="26"/>
              </w:rPr>
              <w:t>VIX_observed</w:t>
            </w:r>
          </w:p>
        </w:tc>
        <w:tc>
          <w:tcPr>
            <w:tcW w:type="dxa" w:w="2250"/>
            <w:vAlign w:val="center"/>
          </w:tcPr>
          <w:p>
            <w:pPr>
              <w:spacing w:line="360" w:lineRule="auto" w:before="0" w:after="0"/>
            </w:pPr>
            <w:r>
              <w:rPr>
                <w:rFonts w:ascii="Times New Roman" w:hAnsi="Times New Roman"/>
                <w:color w:val="000000"/>
                <w:sz w:val="26"/>
              </w:rPr>
              <w:t>2,922</w:t>
            </w:r>
          </w:p>
        </w:tc>
        <w:tc>
          <w:tcPr>
            <w:tcW w:type="dxa" w:w="2250"/>
            <w:vAlign w:val="center"/>
          </w:tcPr>
          <w:p>
            <w:pPr>
              <w:spacing w:line="360" w:lineRule="auto" w:before="0" w:after="0"/>
            </w:pPr>
            <w:r>
              <w:rPr>
                <w:rFonts w:ascii="Times New Roman" w:hAnsi="Times New Roman"/>
                <w:color w:val="000000"/>
                <w:sz w:val="26"/>
              </w:rPr>
              <w:t>0</w:t>
            </w:r>
          </w:p>
        </w:tc>
        <w:tc>
          <w:tcPr>
            <w:tcW w:type="dxa" w:w="2250"/>
            <w:vAlign w:val="center"/>
          </w:tcPr>
          <w:p>
            <w:pPr>
              <w:spacing w:line="360" w:lineRule="auto" w:before="0" w:after="0"/>
            </w:pPr>
            <w:r>
              <w:rPr>
                <w:rFonts w:ascii="Times New Roman" w:hAnsi="Times New Roman"/>
                <w:color w:val="000000"/>
                <w:sz w:val="26"/>
              </w:rPr>
              <w:t>0.00%</w:t>
            </w:r>
          </w:p>
        </w:tc>
      </w:tr>
    </w:tbl>
    <w:p>
      <w:pPr>
        <w:spacing w:line="360" w:lineRule="auto"/>
      </w:pPr>
      <w:r>
        <w:rPr>
          <w:rFonts w:ascii="Times New Roman" w:hAnsi="Times New Roman"/>
          <w:color w:val="000000"/>
          <w:sz w:val="26"/>
        </w:rPr>
        <w:t>Bảng được tính trực tiếp từ dataset chuẩn trong cùng lần chạy pipeline. Cờ observed bằng 0 chỉ ra ngày không có mức dữ liệu nguồn; giá trị thay đổi bị thiếu ở lần quan sát đầu tiên còn có thể xuất phát từ việc chưa có quan sát trước đó để tính sai phân. Hai trường hợp này cần được phân biệt khi chọn mẫu cho mô hình.</w:t>
      </w:r>
    </w:p>
    <w:p>
      <w:pPr>
        <w:pStyle w:val="Heading1"/>
        <w:spacing w:line="360" w:lineRule="auto"/>
      </w:pPr>
      <w:r>
        <w:rPr>
          <w:rFonts w:ascii="Times New Roman" w:hAnsi="Times New Roman"/>
          <w:b/>
          <w:color w:val="000000"/>
          <w:sz w:val="26"/>
        </w:rPr>
        <w:t>2.6. Thống kê mô tả và tương quan</w:t>
      </w:r>
    </w:p>
    <w:p>
      <w:pPr>
        <w:spacing w:line="360" w:lineRule="auto"/>
      </w:pPr>
      <w:r>
        <w:rPr>
          <w:rFonts w:ascii="Times New Roman" w:hAnsi="Times New Roman"/>
          <w:color w:val="000000"/>
          <w:sz w:val="26"/>
        </w:rPr>
        <w:t>Bảng thống kê mô tả các biến chính trong giai đoạn 2018–2025. N là số quan sát hợp lệ; Mean là giá trị trung bình; Std. Dev. là độ lệch chuẩn; Median là trung vị. Missing (%) thể hiện tỷ lệ dữ liệu thiếu.</w:t>
      </w:r>
    </w:p>
    <w:tbl>
      <w:tblPr>
        <w:tblStyle w:val="TableGrid"/>
        <w:tblW w:type="auto" w:w="0"/>
        <w:jc w:val="center"/>
        <w:tblLayout w:type="autofit"/>
        <w:tblLook w:firstColumn="1" w:firstRow="1" w:lastColumn="0" w:lastRow="0" w:noHBand="0" w:noVBand="1" w:val="04A0"/>
      </w:tblPr>
      <w:tblGrid>
        <w:gridCol w:w="1125"/>
        <w:gridCol w:w="1125"/>
        <w:gridCol w:w="1125"/>
        <w:gridCol w:w="1125"/>
        <w:gridCol w:w="1125"/>
        <w:gridCol w:w="1125"/>
        <w:gridCol w:w="1125"/>
        <w:gridCol w:w="1125"/>
      </w:tblGrid>
      <w:tr>
        <w:tc>
          <w:tcPr>
            <w:tcW w:type="dxa" w:w="1125"/>
            <w:vAlign w:val="center"/>
          </w:tcPr>
          <w:p>
            <w:pPr>
              <w:spacing w:line="360" w:lineRule="auto" w:before="0" w:after="0"/>
            </w:pPr>
            <w:r>
              <w:rPr>
                <w:rFonts w:ascii="Times New Roman" w:hAnsi="Times New Roman"/>
                <w:b/>
                <w:color w:val="000000"/>
                <w:sz w:val="26"/>
              </w:rPr>
              <w:t>Biến</w:t>
            </w:r>
          </w:p>
        </w:tc>
        <w:tc>
          <w:tcPr>
            <w:tcW w:type="dxa" w:w="1125"/>
            <w:vAlign w:val="center"/>
          </w:tcPr>
          <w:p>
            <w:pPr>
              <w:spacing w:line="360" w:lineRule="auto" w:before="0" w:after="0"/>
            </w:pPr>
            <w:r>
              <w:rPr>
                <w:rFonts w:ascii="Times New Roman" w:hAnsi="Times New Roman"/>
                <w:b/>
                <w:color w:val="000000"/>
                <w:sz w:val="26"/>
              </w:rPr>
              <w:t>N</w:t>
            </w:r>
          </w:p>
        </w:tc>
        <w:tc>
          <w:tcPr>
            <w:tcW w:type="dxa" w:w="1125"/>
            <w:vAlign w:val="center"/>
          </w:tcPr>
          <w:p>
            <w:pPr>
              <w:spacing w:line="360" w:lineRule="auto" w:before="0" w:after="0"/>
            </w:pPr>
            <w:r>
              <w:rPr>
                <w:rFonts w:ascii="Times New Roman" w:hAnsi="Times New Roman"/>
                <w:b/>
                <w:color w:val="000000"/>
                <w:sz w:val="26"/>
              </w:rPr>
              <w:t>Mean</w:t>
            </w:r>
          </w:p>
        </w:tc>
        <w:tc>
          <w:tcPr>
            <w:tcW w:type="dxa" w:w="1125"/>
            <w:vAlign w:val="center"/>
          </w:tcPr>
          <w:p>
            <w:pPr>
              <w:spacing w:line="360" w:lineRule="auto" w:before="0" w:after="0"/>
            </w:pPr>
            <w:r>
              <w:rPr>
                <w:rFonts w:ascii="Times New Roman" w:hAnsi="Times New Roman"/>
                <w:b/>
                <w:color w:val="000000"/>
                <w:sz w:val="26"/>
              </w:rPr>
              <w:t>Std. Dev.</w:t>
            </w:r>
          </w:p>
        </w:tc>
        <w:tc>
          <w:tcPr>
            <w:tcW w:type="dxa" w:w="1125"/>
            <w:vAlign w:val="center"/>
          </w:tcPr>
          <w:p>
            <w:pPr>
              <w:spacing w:line="360" w:lineRule="auto" w:before="0" w:after="0"/>
            </w:pPr>
            <w:r>
              <w:rPr>
                <w:rFonts w:ascii="Times New Roman" w:hAnsi="Times New Roman"/>
                <w:b/>
                <w:color w:val="000000"/>
                <w:sz w:val="26"/>
              </w:rPr>
              <w:t>Min</w:t>
            </w:r>
          </w:p>
        </w:tc>
        <w:tc>
          <w:tcPr>
            <w:tcW w:type="dxa" w:w="1125"/>
            <w:vAlign w:val="center"/>
          </w:tcPr>
          <w:p>
            <w:pPr>
              <w:spacing w:line="360" w:lineRule="auto" w:before="0" w:after="0"/>
            </w:pPr>
            <w:r>
              <w:rPr>
                <w:rFonts w:ascii="Times New Roman" w:hAnsi="Times New Roman"/>
                <w:b/>
                <w:color w:val="000000"/>
                <w:sz w:val="26"/>
              </w:rPr>
              <w:t>Median</w:t>
            </w:r>
          </w:p>
        </w:tc>
        <w:tc>
          <w:tcPr>
            <w:tcW w:type="dxa" w:w="1125"/>
            <w:vAlign w:val="center"/>
          </w:tcPr>
          <w:p>
            <w:pPr>
              <w:spacing w:line="360" w:lineRule="auto" w:before="0" w:after="0"/>
            </w:pPr>
            <w:r>
              <w:rPr>
                <w:rFonts w:ascii="Times New Roman" w:hAnsi="Times New Roman"/>
                <w:b/>
                <w:color w:val="000000"/>
                <w:sz w:val="26"/>
              </w:rPr>
              <w:t>Max</w:t>
            </w:r>
          </w:p>
        </w:tc>
        <w:tc>
          <w:tcPr>
            <w:tcW w:type="dxa" w:w="1125"/>
            <w:vAlign w:val="center"/>
          </w:tcPr>
          <w:p>
            <w:pPr>
              <w:spacing w:line="360" w:lineRule="auto" w:before="0" w:after="0"/>
            </w:pPr>
            <w:r>
              <w:rPr>
                <w:rFonts w:ascii="Times New Roman" w:hAnsi="Times New Roman"/>
                <w:b/>
                <w:color w:val="000000"/>
                <w:sz w:val="26"/>
              </w:rPr>
              <w:t>Missing (%)</w:t>
            </w:r>
          </w:p>
        </w:tc>
      </w:tr>
      <w:tr>
        <w:tc>
          <w:tcPr>
            <w:tcW w:type="dxa" w:w="1125"/>
            <w:vAlign w:val="center"/>
          </w:tcPr>
          <w:p>
            <w:pPr>
              <w:spacing w:line="360" w:lineRule="auto" w:before="0" w:after="0"/>
            </w:pPr>
            <w:r>
              <w:rPr>
                <w:rFonts w:ascii="Times New Roman" w:hAnsi="Times New Roman"/>
                <w:color w:val="000000"/>
                <w:sz w:val="26"/>
              </w:rPr>
              <w:t>BTC</w:t>
            </w:r>
          </w:p>
        </w:tc>
        <w:tc>
          <w:tcPr>
            <w:tcW w:type="dxa" w:w="1125"/>
            <w:vAlign w:val="center"/>
          </w:tcPr>
          <w:p>
            <w:pPr>
              <w:spacing w:line="360" w:lineRule="auto" w:before="0" w:after="0"/>
            </w:pPr>
            <w:r>
              <w:rPr>
                <w:rFonts w:ascii="Times New Roman" w:hAnsi="Times New Roman"/>
                <w:color w:val="000000"/>
                <w:sz w:val="26"/>
              </w:rPr>
              <w:t>2,922</w:t>
            </w:r>
          </w:p>
        </w:tc>
        <w:tc>
          <w:tcPr>
            <w:tcW w:type="dxa" w:w="1125"/>
            <w:vAlign w:val="center"/>
          </w:tcPr>
          <w:p>
            <w:pPr>
              <w:spacing w:line="360" w:lineRule="auto" w:before="0" w:after="0"/>
            </w:pPr>
            <w:r>
              <w:rPr>
                <w:rFonts w:ascii="Times New Roman" w:hAnsi="Times New Roman"/>
                <w:color w:val="000000"/>
                <w:sz w:val="26"/>
              </w:rPr>
              <w:t>37,273.879</w:t>
            </w:r>
          </w:p>
        </w:tc>
        <w:tc>
          <w:tcPr>
            <w:tcW w:type="dxa" w:w="1125"/>
            <w:vAlign w:val="center"/>
          </w:tcPr>
          <w:p>
            <w:pPr>
              <w:spacing w:line="360" w:lineRule="auto" w:before="0" w:after="0"/>
            </w:pPr>
            <w:r>
              <w:rPr>
                <w:rFonts w:ascii="Times New Roman" w:hAnsi="Times New Roman"/>
                <w:color w:val="000000"/>
                <w:sz w:val="26"/>
              </w:rPr>
              <w:t>32,214.289</w:t>
            </w:r>
          </w:p>
        </w:tc>
        <w:tc>
          <w:tcPr>
            <w:tcW w:type="dxa" w:w="1125"/>
            <w:vAlign w:val="center"/>
          </w:tcPr>
          <w:p>
            <w:pPr>
              <w:spacing w:line="360" w:lineRule="auto" w:before="0" w:after="0"/>
            </w:pPr>
            <w:r>
              <w:rPr>
                <w:rFonts w:ascii="Times New Roman" w:hAnsi="Times New Roman"/>
                <w:color w:val="000000"/>
                <w:sz w:val="26"/>
              </w:rPr>
              <w:t>3,236.762</w:t>
            </w:r>
          </w:p>
        </w:tc>
        <w:tc>
          <w:tcPr>
            <w:tcW w:type="dxa" w:w="1125"/>
            <w:vAlign w:val="center"/>
          </w:tcPr>
          <w:p>
            <w:pPr>
              <w:spacing w:line="360" w:lineRule="auto" w:before="0" w:after="0"/>
            </w:pPr>
            <w:r>
              <w:rPr>
                <w:rFonts w:ascii="Times New Roman" w:hAnsi="Times New Roman"/>
                <w:color w:val="000000"/>
                <w:sz w:val="26"/>
              </w:rPr>
              <w:t>27,334.938</w:t>
            </w:r>
          </w:p>
        </w:tc>
        <w:tc>
          <w:tcPr>
            <w:tcW w:type="dxa" w:w="1125"/>
            <w:vAlign w:val="center"/>
          </w:tcPr>
          <w:p>
            <w:pPr>
              <w:spacing w:line="360" w:lineRule="auto" w:before="0" w:after="0"/>
            </w:pPr>
            <w:r>
              <w:rPr>
                <w:rFonts w:ascii="Times New Roman" w:hAnsi="Times New Roman"/>
                <w:color w:val="000000"/>
                <w:sz w:val="26"/>
              </w:rPr>
              <w:t>124,752.531</w:t>
            </w:r>
          </w:p>
        </w:tc>
        <w:tc>
          <w:tcPr>
            <w:tcW w:type="dxa" w:w="1125"/>
            <w:vAlign w:val="center"/>
          </w:tcPr>
          <w:p>
            <w:pPr>
              <w:spacing w:line="360" w:lineRule="auto" w:before="0" w:after="0"/>
            </w:pPr>
            <w:r>
              <w:rPr>
                <w:rFonts w:ascii="Times New Roman" w:hAnsi="Times New Roman"/>
                <w:color w:val="000000"/>
                <w:sz w:val="26"/>
              </w:rPr>
              <w:t>0</w:t>
            </w:r>
          </w:p>
        </w:tc>
      </w:tr>
      <w:tr>
        <w:tc>
          <w:tcPr>
            <w:tcW w:type="dxa" w:w="1125"/>
            <w:vAlign w:val="center"/>
          </w:tcPr>
          <w:p>
            <w:pPr>
              <w:spacing w:line="360" w:lineRule="auto" w:before="0" w:after="0"/>
            </w:pPr>
            <w:r>
              <w:rPr>
                <w:rFonts w:ascii="Times New Roman" w:hAnsi="Times New Roman"/>
                <w:color w:val="000000"/>
                <w:sz w:val="26"/>
              </w:rPr>
              <w:t>ETH</w:t>
            </w:r>
          </w:p>
        </w:tc>
        <w:tc>
          <w:tcPr>
            <w:tcW w:type="dxa" w:w="1125"/>
            <w:vAlign w:val="center"/>
          </w:tcPr>
          <w:p>
            <w:pPr>
              <w:spacing w:line="360" w:lineRule="auto" w:before="0" w:after="0"/>
            </w:pPr>
            <w:r>
              <w:rPr>
                <w:rFonts w:ascii="Times New Roman" w:hAnsi="Times New Roman"/>
                <w:color w:val="000000"/>
                <w:sz w:val="26"/>
              </w:rPr>
              <w:t>2,922</w:t>
            </w:r>
          </w:p>
        </w:tc>
        <w:tc>
          <w:tcPr>
            <w:tcW w:type="dxa" w:w="1125"/>
            <w:vAlign w:val="center"/>
          </w:tcPr>
          <w:p>
            <w:pPr>
              <w:spacing w:line="360" w:lineRule="auto" w:before="0" w:after="0"/>
            </w:pPr>
            <w:r>
              <w:rPr>
                <w:rFonts w:ascii="Times New Roman" w:hAnsi="Times New Roman"/>
                <w:color w:val="000000"/>
                <w:sz w:val="26"/>
              </w:rPr>
              <w:t>1,705.653</w:t>
            </w:r>
          </w:p>
        </w:tc>
        <w:tc>
          <w:tcPr>
            <w:tcW w:type="dxa" w:w="1125"/>
            <w:vAlign w:val="center"/>
          </w:tcPr>
          <w:p>
            <w:pPr>
              <w:spacing w:line="360" w:lineRule="auto" w:before="0" w:after="0"/>
            </w:pPr>
            <w:r>
              <w:rPr>
                <w:rFonts w:ascii="Times New Roman" w:hAnsi="Times New Roman"/>
                <w:color w:val="000000"/>
                <w:sz w:val="26"/>
              </w:rPr>
              <w:t>1,297.988</w:t>
            </w:r>
          </w:p>
        </w:tc>
        <w:tc>
          <w:tcPr>
            <w:tcW w:type="dxa" w:w="1125"/>
            <w:vAlign w:val="center"/>
          </w:tcPr>
          <w:p>
            <w:pPr>
              <w:spacing w:line="360" w:lineRule="auto" w:before="0" w:after="0"/>
            </w:pPr>
            <w:r>
              <w:rPr>
                <w:rFonts w:ascii="Times New Roman" w:hAnsi="Times New Roman"/>
                <w:color w:val="000000"/>
                <w:sz w:val="26"/>
              </w:rPr>
              <w:t>84.308</w:t>
            </w:r>
          </w:p>
        </w:tc>
        <w:tc>
          <w:tcPr>
            <w:tcW w:type="dxa" w:w="1125"/>
            <w:vAlign w:val="center"/>
          </w:tcPr>
          <w:p>
            <w:pPr>
              <w:spacing w:line="360" w:lineRule="auto" w:before="0" w:after="0"/>
            </w:pPr>
            <w:r>
              <w:rPr>
                <w:rFonts w:ascii="Times New Roman" w:hAnsi="Times New Roman"/>
                <w:color w:val="000000"/>
                <w:sz w:val="26"/>
              </w:rPr>
              <w:t>1,663.100</w:t>
            </w:r>
          </w:p>
        </w:tc>
        <w:tc>
          <w:tcPr>
            <w:tcW w:type="dxa" w:w="1125"/>
            <w:vAlign w:val="center"/>
          </w:tcPr>
          <w:p>
            <w:pPr>
              <w:spacing w:line="360" w:lineRule="auto" w:before="0" w:after="0"/>
            </w:pPr>
            <w:r>
              <w:rPr>
                <w:rFonts w:ascii="Times New Roman" w:hAnsi="Times New Roman"/>
                <w:color w:val="000000"/>
                <w:sz w:val="26"/>
              </w:rPr>
              <w:t>4,831.349</w:t>
            </w:r>
          </w:p>
        </w:tc>
        <w:tc>
          <w:tcPr>
            <w:tcW w:type="dxa" w:w="1125"/>
            <w:vAlign w:val="center"/>
          </w:tcPr>
          <w:p>
            <w:pPr>
              <w:spacing w:line="360" w:lineRule="auto" w:before="0" w:after="0"/>
            </w:pPr>
            <w:r>
              <w:rPr>
                <w:rFonts w:ascii="Times New Roman" w:hAnsi="Times New Roman"/>
                <w:color w:val="000000"/>
                <w:sz w:val="26"/>
              </w:rPr>
              <w:t>0</w:t>
            </w:r>
          </w:p>
        </w:tc>
      </w:tr>
      <w:tr>
        <w:tc>
          <w:tcPr>
            <w:tcW w:type="dxa" w:w="1125"/>
            <w:vAlign w:val="center"/>
          </w:tcPr>
          <w:p>
            <w:pPr>
              <w:spacing w:line="360" w:lineRule="auto" w:before="0" w:after="0"/>
            </w:pPr>
            <w:r>
              <w:rPr>
                <w:rFonts w:ascii="Times New Roman" w:hAnsi="Times New Roman"/>
                <w:color w:val="000000"/>
                <w:sz w:val="26"/>
              </w:rPr>
              <w:t>US2Y</w:t>
            </w:r>
          </w:p>
        </w:tc>
        <w:tc>
          <w:tcPr>
            <w:tcW w:type="dxa" w:w="1125"/>
            <w:vAlign w:val="center"/>
          </w:tcPr>
          <w:p>
            <w:pPr>
              <w:spacing w:line="360" w:lineRule="auto" w:before="0" w:after="0"/>
            </w:pPr>
            <w:r>
              <w:rPr>
                <w:rFonts w:ascii="Times New Roman" w:hAnsi="Times New Roman"/>
                <w:color w:val="000000"/>
                <w:sz w:val="26"/>
              </w:rPr>
              <w:t>1,999</w:t>
            </w:r>
          </w:p>
        </w:tc>
        <w:tc>
          <w:tcPr>
            <w:tcW w:type="dxa" w:w="1125"/>
            <w:vAlign w:val="center"/>
          </w:tcPr>
          <w:p>
            <w:pPr>
              <w:spacing w:line="360" w:lineRule="auto" w:before="0" w:after="0"/>
            </w:pPr>
            <w:r>
              <w:rPr>
                <w:rFonts w:ascii="Times New Roman" w:hAnsi="Times New Roman"/>
                <w:color w:val="000000"/>
                <w:sz w:val="26"/>
              </w:rPr>
              <w:t>2.610</w:t>
            </w:r>
          </w:p>
        </w:tc>
        <w:tc>
          <w:tcPr>
            <w:tcW w:type="dxa" w:w="1125"/>
            <w:vAlign w:val="center"/>
          </w:tcPr>
          <w:p>
            <w:pPr>
              <w:spacing w:line="360" w:lineRule="auto" w:before="0" w:after="0"/>
            </w:pPr>
            <w:r>
              <w:rPr>
                <w:rFonts w:ascii="Times New Roman" w:hAnsi="Times New Roman"/>
                <w:color w:val="000000"/>
                <w:sz w:val="26"/>
              </w:rPr>
              <w:t>1.641</w:t>
            </w:r>
          </w:p>
        </w:tc>
        <w:tc>
          <w:tcPr>
            <w:tcW w:type="dxa" w:w="1125"/>
            <w:vAlign w:val="center"/>
          </w:tcPr>
          <w:p>
            <w:pPr>
              <w:spacing w:line="360" w:lineRule="auto" w:before="0" w:after="0"/>
            </w:pPr>
            <w:r>
              <w:rPr>
                <w:rFonts w:ascii="Times New Roman" w:hAnsi="Times New Roman"/>
                <w:color w:val="000000"/>
                <w:sz w:val="26"/>
              </w:rPr>
              <w:t>0.090</w:t>
            </w:r>
          </w:p>
        </w:tc>
        <w:tc>
          <w:tcPr>
            <w:tcW w:type="dxa" w:w="1125"/>
            <w:vAlign w:val="center"/>
          </w:tcPr>
          <w:p>
            <w:pPr>
              <w:spacing w:line="360" w:lineRule="auto" w:before="0" w:after="0"/>
            </w:pPr>
            <w:r>
              <w:rPr>
                <w:rFonts w:ascii="Times New Roman" w:hAnsi="Times New Roman"/>
                <w:color w:val="000000"/>
                <w:sz w:val="26"/>
              </w:rPr>
              <w:t>2.630</w:t>
            </w:r>
          </w:p>
        </w:tc>
        <w:tc>
          <w:tcPr>
            <w:tcW w:type="dxa" w:w="1125"/>
            <w:vAlign w:val="center"/>
          </w:tcPr>
          <w:p>
            <w:pPr>
              <w:spacing w:line="360" w:lineRule="auto" w:before="0" w:after="0"/>
            </w:pPr>
            <w:r>
              <w:rPr>
                <w:rFonts w:ascii="Times New Roman" w:hAnsi="Times New Roman"/>
                <w:color w:val="000000"/>
                <w:sz w:val="26"/>
              </w:rPr>
              <w:t>5.190</w:t>
            </w:r>
          </w:p>
        </w:tc>
        <w:tc>
          <w:tcPr>
            <w:tcW w:type="dxa" w:w="1125"/>
            <w:vAlign w:val="center"/>
          </w:tcPr>
          <w:p>
            <w:pPr>
              <w:spacing w:line="360" w:lineRule="auto" w:before="0" w:after="0"/>
            </w:pPr>
            <w:r>
              <w:rPr>
                <w:rFonts w:ascii="Times New Roman" w:hAnsi="Times New Roman"/>
                <w:color w:val="000000"/>
                <w:sz w:val="26"/>
              </w:rPr>
              <w:t>31.588</w:t>
            </w:r>
          </w:p>
        </w:tc>
      </w:tr>
      <w:tr>
        <w:tc>
          <w:tcPr>
            <w:tcW w:type="dxa" w:w="1125"/>
            <w:vAlign w:val="center"/>
          </w:tcPr>
          <w:p>
            <w:pPr>
              <w:spacing w:line="360" w:lineRule="auto" w:before="0" w:after="0"/>
            </w:pPr>
            <w:r>
              <w:rPr>
                <w:rFonts w:ascii="Times New Roman" w:hAnsi="Times New Roman"/>
                <w:color w:val="000000"/>
                <w:sz w:val="26"/>
              </w:rPr>
              <w:t>DXY</w:t>
            </w:r>
          </w:p>
        </w:tc>
        <w:tc>
          <w:tcPr>
            <w:tcW w:type="dxa" w:w="1125"/>
            <w:vAlign w:val="center"/>
          </w:tcPr>
          <w:p>
            <w:pPr>
              <w:spacing w:line="360" w:lineRule="auto" w:before="0" w:after="0"/>
            </w:pPr>
            <w:r>
              <w:rPr>
                <w:rFonts w:ascii="Times New Roman" w:hAnsi="Times New Roman"/>
                <w:color w:val="000000"/>
                <w:sz w:val="26"/>
              </w:rPr>
              <w:t>2,013</w:t>
            </w:r>
          </w:p>
        </w:tc>
        <w:tc>
          <w:tcPr>
            <w:tcW w:type="dxa" w:w="1125"/>
            <w:vAlign w:val="center"/>
          </w:tcPr>
          <w:p>
            <w:pPr>
              <w:spacing w:line="360" w:lineRule="auto" w:before="0" w:after="0"/>
            </w:pPr>
            <w:r>
              <w:rPr>
                <w:rFonts w:ascii="Times New Roman" w:hAnsi="Times New Roman"/>
                <w:color w:val="000000"/>
                <w:sz w:val="26"/>
              </w:rPr>
              <w:t>98.967</w:t>
            </w:r>
          </w:p>
        </w:tc>
        <w:tc>
          <w:tcPr>
            <w:tcW w:type="dxa" w:w="1125"/>
            <w:vAlign w:val="center"/>
          </w:tcPr>
          <w:p>
            <w:pPr>
              <w:spacing w:line="360" w:lineRule="auto" w:before="0" w:after="0"/>
            </w:pPr>
            <w:r>
              <w:rPr>
                <w:rFonts w:ascii="Times New Roman" w:hAnsi="Times New Roman"/>
                <w:color w:val="000000"/>
                <w:sz w:val="26"/>
              </w:rPr>
              <w:t>5.332</w:t>
            </w:r>
          </w:p>
        </w:tc>
        <w:tc>
          <w:tcPr>
            <w:tcW w:type="dxa" w:w="1125"/>
            <w:vAlign w:val="center"/>
          </w:tcPr>
          <w:p>
            <w:pPr>
              <w:spacing w:line="360" w:lineRule="auto" w:before="0" w:after="0"/>
            </w:pPr>
            <w:r>
              <w:rPr>
                <w:rFonts w:ascii="Times New Roman" w:hAnsi="Times New Roman"/>
                <w:color w:val="000000"/>
                <w:sz w:val="26"/>
              </w:rPr>
              <w:t>88.590</w:t>
            </w:r>
          </w:p>
        </w:tc>
        <w:tc>
          <w:tcPr>
            <w:tcW w:type="dxa" w:w="1125"/>
            <w:vAlign w:val="center"/>
          </w:tcPr>
          <w:p>
            <w:pPr>
              <w:spacing w:line="360" w:lineRule="auto" w:before="0" w:after="0"/>
            </w:pPr>
            <w:r>
              <w:rPr>
                <w:rFonts w:ascii="Times New Roman" w:hAnsi="Times New Roman"/>
                <w:color w:val="000000"/>
                <w:sz w:val="26"/>
              </w:rPr>
              <w:t>98.260</w:t>
            </w:r>
          </w:p>
        </w:tc>
        <w:tc>
          <w:tcPr>
            <w:tcW w:type="dxa" w:w="1125"/>
            <w:vAlign w:val="center"/>
          </w:tcPr>
          <w:p>
            <w:pPr>
              <w:spacing w:line="360" w:lineRule="auto" w:before="0" w:after="0"/>
            </w:pPr>
            <w:r>
              <w:rPr>
                <w:rFonts w:ascii="Times New Roman" w:hAnsi="Times New Roman"/>
                <w:color w:val="000000"/>
                <w:sz w:val="26"/>
              </w:rPr>
              <w:t>114.110</w:t>
            </w:r>
          </w:p>
        </w:tc>
        <w:tc>
          <w:tcPr>
            <w:tcW w:type="dxa" w:w="1125"/>
            <w:vAlign w:val="center"/>
          </w:tcPr>
          <w:p>
            <w:pPr>
              <w:spacing w:line="360" w:lineRule="auto" w:before="0" w:after="0"/>
            </w:pPr>
            <w:r>
              <w:rPr>
                <w:rFonts w:ascii="Times New Roman" w:hAnsi="Times New Roman"/>
                <w:color w:val="000000"/>
                <w:sz w:val="26"/>
              </w:rPr>
              <w:t>31.109</w:t>
            </w:r>
          </w:p>
        </w:tc>
      </w:tr>
      <w:tr>
        <w:tc>
          <w:tcPr>
            <w:tcW w:type="dxa" w:w="1125"/>
            <w:vAlign w:val="center"/>
          </w:tcPr>
          <w:p>
            <w:pPr>
              <w:spacing w:line="360" w:lineRule="auto" w:before="0" w:after="0"/>
            </w:pPr>
            <w:r>
              <w:rPr>
                <w:rFonts w:ascii="Times New Roman" w:hAnsi="Times New Roman"/>
                <w:color w:val="000000"/>
                <w:sz w:val="26"/>
              </w:rPr>
              <w:t>VIX</w:t>
            </w:r>
          </w:p>
        </w:tc>
        <w:tc>
          <w:tcPr>
            <w:tcW w:type="dxa" w:w="1125"/>
            <w:vAlign w:val="center"/>
          </w:tcPr>
          <w:p>
            <w:pPr>
              <w:spacing w:line="360" w:lineRule="auto" w:before="0" w:after="0"/>
            </w:pPr>
            <w:r>
              <w:rPr>
                <w:rFonts w:ascii="Times New Roman" w:hAnsi="Times New Roman"/>
                <w:color w:val="000000"/>
                <w:sz w:val="26"/>
              </w:rPr>
              <w:t>2,011</w:t>
            </w:r>
          </w:p>
        </w:tc>
        <w:tc>
          <w:tcPr>
            <w:tcW w:type="dxa" w:w="1125"/>
            <w:vAlign w:val="center"/>
          </w:tcPr>
          <w:p>
            <w:pPr>
              <w:spacing w:line="360" w:lineRule="auto" w:before="0" w:after="0"/>
            </w:pPr>
            <w:r>
              <w:rPr>
                <w:rFonts w:ascii="Times New Roman" w:hAnsi="Times New Roman"/>
                <w:color w:val="000000"/>
                <w:sz w:val="26"/>
              </w:rPr>
              <w:t>19.757</w:t>
            </w:r>
          </w:p>
        </w:tc>
        <w:tc>
          <w:tcPr>
            <w:tcW w:type="dxa" w:w="1125"/>
            <w:vAlign w:val="center"/>
          </w:tcPr>
          <w:p>
            <w:pPr>
              <w:spacing w:line="360" w:lineRule="auto" w:before="0" w:after="0"/>
            </w:pPr>
            <w:r>
              <w:rPr>
                <w:rFonts w:ascii="Times New Roman" w:hAnsi="Times New Roman"/>
                <w:color w:val="000000"/>
                <w:sz w:val="26"/>
              </w:rPr>
              <w:t>7.461</w:t>
            </w:r>
          </w:p>
        </w:tc>
        <w:tc>
          <w:tcPr>
            <w:tcW w:type="dxa" w:w="1125"/>
            <w:vAlign w:val="center"/>
          </w:tcPr>
          <w:p>
            <w:pPr>
              <w:spacing w:line="360" w:lineRule="auto" w:before="0" w:after="0"/>
            </w:pPr>
            <w:r>
              <w:rPr>
                <w:rFonts w:ascii="Times New Roman" w:hAnsi="Times New Roman"/>
                <w:color w:val="000000"/>
                <w:sz w:val="26"/>
              </w:rPr>
              <w:t>9.150</w:t>
            </w:r>
          </w:p>
        </w:tc>
        <w:tc>
          <w:tcPr>
            <w:tcW w:type="dxa" w:w="1125"/>
            <w:vAlign w:val="center"/>
          </w:tcPr>
          <w:p>
            <w:pPr>
              <w:spacing w:line="360" w:lineRule="auto" w:before="0" w:after="0"/>
            </w:pPr>
            <w:r>
              <w:rPr>
                <w:rFonts w:ascii="Times New Roman" w:hAnsi="Times New Roman"/>
                <w:color w:val="000000"/>
                <w:sz w:val="26"/>
              </w:rPr>
              <w:t>17.880</w:t>
            </w:r>
          </w:p>
        </w:tc>
        <w:tc>
          <w:tcPr>
            <w:tcW w:type="dxa" w:w="1125"/>
            <w:vAlign w:val="center"/>
          </w:tcPr>
          <w:p>
            <w:pPr>
              <w:spacing w:line="360" w:lineRule="auto" w:before="0" w:after="0"/>
            </w:pPr>
            <w:r>
              <w:rPr>
                <w:rFonts w:ascii="Times New Roman" w:hAnsi="Times New Roman"/>
                <w:color w:val="000000"/>
                <w:sz w:val="26"/>
              </w:rPr>
              <w:t>82.690</w:t>
            </w:r>
          </w:p>
        </w:tc>
        <w:tc>
          <w:tcPr>
            <w:tcW w:type="dxa" w:w="1125"/>
            <w:vAlign w:val="center"/>
          </w:tcPr>
          <w:p>
            <w:pPr>
              <w:spacing w:line="360" w:lineRule="auto" w:before="0" w:after="0"/>
            </w:pPr>
            <w:r>
              <w:rPr>
                <w:rFonts w:ascii="Times New Roman" w:hAnsi="Times New Roman"/>
                <w:color w:val="000000"/>
                <w:sz w:val="26"/>
              </w:rPr>
              <w:t>31.177</w:t>
            </w:r>
          </w:p>
        </w:tc>
      </w:tr>
      <w:tr>
        <w:tc>
          <w:tcPr>
            <w:tcW w:type="dxa" w:w="1125"/>
            <w:vAlign w:val="center"/>
          </w:tcPr>
          <w:p>
            <w:pPr>
              <w:spacing w:line="360" w:lineRule="auto" w:before="0" w:after="0"/>
            </w:pPr>
            <w:r>
              <w:rPr>
                <w:rFonts w:ascii="Times New Roman" w:hAnsi="Times New Roman"/>
                <w:color w:val="000000"/>
                <w:sz w:val="26"/>
              </w:rPr>
              <w:t>BTC_log_return_pct</w:t>
            </w:r>
          </w:p>
        </w:tc>
        <w:tc>
          <w:tcPr>
            <w:tcW w:type="dxa" w:w="1125"/>
            <w:vAlign w:val="center"/>
          </w:tcPr>
          <w:p>
            <w:pPr>
              <w:spacing w:line="360" w:lineRule="auto" w:before="0" w:after="0"/>
            </w:pPr>
            <w:r>
              <w:rPr>
                <w:rFonts w:ascii="Times New Roman" w:hAnsi="Times New Roman"/>
                <w:color w:val="000000"/>
                <w:sz w:val="26"/>
              </w:rPr>
              <w:t>2,921</w:t>
            </w:r>
          </w:p>
        </w:tc>
        <w:tc>
          <w:tcPr>
            <w:tcW w:type="dxa" w:w="1125"/>
            <w:vAlign w:val="center"/>
          </w:tcPr>
          <w:p>
            <w:pPr>
              <w:spacing w:line="360" w:lineRule="auto" w:before="0" w:after="0"/>
            </w:pPr>
            <w:r>
              <w:rPr>
                <w:rFonts w:ascii="Times New Roman" w:hAnsi="Times New Roman"/>
                <w:color w:val="000000"/>
                <w:sz w:val="26"/>
              </w:rPr>
              <w:t>0.064</w:t>
            </w:r>
          </w:p>
        </w:tc>
        <w:tc>
          <w:tcPr>
            <w:tcW w:type="dxa" w:w="1125"/>
            <w:vAlign w:val="center"/>
          </w:tcPr>
          <w:p>
            <w:pPr>
              <w:spacing w:line="360" w:lineRule="auto" w:before="0" w:after="0"/>
            </w:pPr>
            <w:r>
              <w:rPr>
                <w:rFonts w:ascii="Times New Roman" w:hAnsi="Times New Roman"/>
                <w:color w:val="000000"/>
                <w:sz w:val="26"/>
              </w:rPr>
              <w:t>3.425</w:t>
            </w:r>
          </w:p>
        </w:tc>
        <w:tc>
          <w:tcPr>
            <w:tcW w:type="dxa" w:w="1125"/>
            <w:vAlign w:val="center"/>
          </w:tcPr>
          <w:p>
            <w:pPr>
              <w:spacing w:line="360" w:lineRule="auto" w:before="0" w:after="0"/>
            </w:pPr>
            <w:r>
              <w:rPr>
                <w:rFonts w:ascii="Times New Roman" w:hAnsi="Times New Roman"/>
                <w:color w:val="000000"/>
                <w:sz w:val="26"/>
              </w:rPr>
              <w:t>-46.473</w:t>
            </w:r>
          </w:p>
        </w:tc>
        <w:tc>
          <w:tcPr>
            <w:tcW w:type="dxa" w:w="1125"/>
            <w:vAlign w:val="center"/>
          </w:tcPr>
          <w:p>
            <w:pPr>
              <w:spacing w:line="360" w:lineRule="auto" w:before="0" w:after="0"/>
            </w:pPr>
            <w:r>
              <w:rPr>
                <w:rFonts w:ascii="Times New Roman" w:hAnsi="Times New Roman"/>
                <w:color w:val="000000"/>
                <w:sz w:val="26"/>
              </w:rPr>
              <w:t>0.074</w:t>
            </w:r>
          </w:p>
        </w:tc>
        <w:tc>
          <w:tcPr>
            <w:tcW w:type="dxa" w:w="1125"/>
            <w:vAlign w:val="center"/>
          </w:tcPr>
          <w:p>
            <w:pPr>
              <w:spacing w:line="360" w:lineRule="auto" w:before="0" w:after="0"/>
            </w:pPr>
            <w:r>
              <w:rPr>
                <w:rFonts w:ascii="Times New Roman" w:hAnsi="Times New Roman"/>
                <w:color w:val="000000"/>
                <w:sz w:val="26"/>
              </w:rPr>
              <w:t>17.182</w:t>
            </w:r>
          </w:p>
        </w:tc>
        <w:tc>
          <w:tcPr>
            <w:tcW w:type="dxa" w:w="1125"/>
            <w:vAlign w:val="center"/>
          </w:tcPr>
          <w:p>
            <w:pPr>
              <w:spacing w:line="360" w:lineRule="auto" w:before="0" w:after="0"/>
            </w:pPr>
            <w:r>
              <w:rPr>
                <w:rFonts w:ascii="Times New Roman" w:hAnsi="Times New Roman"/>
                <w:color w:val="000000"/>
                <w:sz w:val="26"/>
              </w:rPr>
              <w:t>0.034</w:t>
            </w:r>
          </w:p>
        </w:tc>
      </w:tr>
      <w:tr>
        <w:tc>
          <w:tcPr>
            <w:tcW w:type="dxa" w:w="1125"/>
            <w:vAlign w:val="center"/>
          </w:tcPr>
          <w:p>
            <w:pPr>
              <w:spacing w:line="360" w:lineRule="auto" w:before="0" w:after="0"/>
            </w:pPr>
            <w:r>
              <w:rPr>
                <w:rFonts w:ascii="Times New Roman" w:hAnsi="Times New Roman"/>
                <w:color w:val="000000"/>
                <w:sz w:val="26"/>
              </w:rPr>
              <w:t>ETH_log_return_pct</w:t>
            </w:r>
          </w:p>
        </w:tc>
        <w:tc>
          <w:tcPr>
            <w:tcW w:type="dxa" w:w="1125"/>
            <w:vAlign w:val="center"/>
          </w:tcPr>
          <w:p>
            <w:pPr>
              <w:spacing w:line="360" w:lineRule="auto" w:before="0" w:after="0"/>
            </w:pPr>
            <w:r>
              <w:rPr>
                <w:rFonts w:ascii="Times New Roman" w:hAnsi="Times New Roman"/>
                <w:color w:val="000000"/>
                <w:sz w:val="26"/>
              </w:rPr>
              <w:t>2,921</w:t>
            </w:r>
          </w:p>
        </w:tc>
        <w:tc>
          <w:tcPr>
            <w:tcW w:type="dxa" w:w="1125"/>
            <w:vAlign w:val="center"/>
          </w:tcPr>
          <w:p>
            <w:pPr>
              <w:spacing w:line="360" w:lineRule="auto" w:before="0" w:after="0"/>
            </w:pPr>
            <w:r>
              <w:rPr>
                <w:rFonts w:ascii="Times New Roman" w:hAnsi="Times New Roman"/>
                <w:color w:val="000000"/>
                <w:sz w:val="26"/>
              </w:rPr>
              <w:t>0.046</w:t>
            </w:r>
          </w:p>
        </w:tc>
        <w:tc>
          <w:tcPr>
            <w:tcW w:type="dxa" w:w="1125"/>
            <w:vAlign w:val="center"/>
          </w:tcPr>
          <w:p>
            <w:pPr>
              <w:spacing w:line="360" w:lineRule="auto" w:before="0" w:after="0"/>
            </w:pPr>
            <w:r>
              <w:rPr>
                <w:rFonts w:ascii="Times New Roman" w:hAnsi="Times New Roman"/>
                <w:color w:val="000000"/>
                <w:sz w:val="26"/>
              </w:rPr>
              <w:t>4.498</w:t>
            </w:r>
          </w:p>
        </w:tc>
        <w:tc>
          <w:tcPr>
            <w:tcW w:type="dxa" w:w="1125"/>
            <w:vAlign w:val="center"/>
          </w:tcPr>
          <w:p>
            <w:pPr>
              <w:spacing w:line="360" w:lineRule="auto" w:before="0" w:after="0"/>
            </w:pPr>
            <w:r>
              <w:rPr>
                <w:rFonts w:ascii="Times New Roman" w:hAnsi="Times New Roman"/>
                <w:color w:val="000000"/>
                <w:sz w:val="26"/>
              </w:rPr>
              <w:t>-55.073</w:t>
            </w:r>
          </w:p>
        </w:tc>
        <w:tc>
          <w:tcPr>
            <w:tcW w:type="dxa" w:w="1125"/>
            <w:vAlign w:val="center"/>
          </w:tcPr>
          <w:p>
            <w:pPr>
              <w:spacing w:line="360" w:lineRule="auto" w:before="0" w:after="0"/>
            </w:pPr>
            <w:r>
              <w:rPr>
                <w:rFonts w:ascii="Times New Roman" w:hAnsi="Times New Roman"/>
                <w:color w:val="000000"/>
                <w:sz w:val="26"/>
              </w:rPr>
              <w:t>0.059</w:t>
            </w:r>
          </w:p>
        </w:tc>
        <w:tc>
          <w:tcPr>
            <w:tcW w:type="dxa" w:w="1125"/>
            <w:vAlign w:val="center"/>
          </w:tcPr>
          <w:p>
            <w:pPr>
              <w:spacing w:line="360" w:lineRule="auto" w:before="0" w:after="0"/>
            </w:pPr>
            <w:r>
              <w:rPr>
                <w:rFonts w:ascii="Times New Roman" w:hAnsi="Times New Roman"/>
                <w:color w:val="000000"/>
                <w:sz w:val="26"/>
              </w:rPr>
              <w:t>23.070</w:t>
            </w:r>
          </w:p>
        </w:tc>
        <w:tc>
          <w:tcPr>
            <w:tcW w:type="dxa" w:w="1125"/>
            <w:vAlign w:val="center"/>
          </w:tcPr>
          <w:p>
            <w:pPr>
              <w:spacing w:line="360" w:lineRule="auto" w:before="0" w:after="0"/>
            </w:pPr>
            <w:r>
              <w:rPr>
                <w:rFonts w:ascii="Times New Roman" w:hAnsi="Times New Roman"/>
                <w:color w:val="000000"/>
                <w:sz w:val="26"/>
              </w:rPr>
              <w:t>0.034</w:t>
            </w:r>
          </w:p>
        </w:tc>
      </w:tr>
      <w:tr>
        <w:tc>
          <w:tcPr>
            <w:tcW w:type="dxa" w:w="1125"/>
            <w:vAlign w:val="center"/>
          </w:tcPr>
          <w:p>
            <w:pPr>
              <w:spacing w:line="360" w:lineRule="auto" w:before="0" w:after="0"/>
            </w:pPr>
            <w:r>
              <w:rPr>
                <w:rFonts w:ascii="Times New Roman" w:hAnsi="Times New Roman"/>
                <w:color w:val="000000"/>
                <w:sz w:val="26"/>
              </w:rPr>
              <w:t>US2Y_change_pp</w:t>
            </w:r>
          </w:p>
        </w:tc>
        <w:tc>
          <w:tcPr>
            <w:tcW w:type="dxa" w:w="1125"/>
            <w:vAlign w:val="center"/>
          </w:tcPr>
          <w:p>
            <w:pPr>
              <w:spacing w:line="360" w:lineRule="auto" w:before="0" w:after="0"/>
            </w:pPr>
            <w:r>
              <w:rPr>
                <w:rFonts w:ascii="Times New Roman" w:hAnsi="Times New Roman"/>
                <w:color w:val="000000"/>
                <w:sz w:val="26"/>
              </w:rPr>
              <w:t>1,998</w:t>
            </w:r>
          </w:p>
        </w:tc>
        <w:tc>
          <w:tcPr>
            <w:tcW w:type="dxa" w:w="1125"/>
            <w:vAlign w:val="center"/>
          </w:tcPr>
          <w:p>
            <w:pPr>
              <w:spacing w:line="360" w:lineRule="auto" w:before="0" w:after="0"/>
            </w:pPr>
            <w:r>
              <w:rPr>
                <w:rFonts w:ascii="Times New Roman" w:hAnsi="Times New Roman"/>
                <w:color w:val="000000"/>
                <w:sz w:val="26"/>
              </w:rPr>
              <w:t>0.001</w:t>
            </w:r>
          </w:p>
        </w:tc>
        <w:tc>
          <w:tcPr>
            <w:tcW w:type="dxa" w:w="1125"/>
            <w:vAlign w:val="center"/>
          </w:tcPr>
          <w:p>
            <w:pPr>
              <w:spacing w:line="360" w:lineRule="auto" w:before="0" w:after="0"/>
            </w:pPr>
            <w:r>
              <w:rPr>
                <w:rFonts w:ascii="Times New Roman" w:hAnsi="Times New Roman"/>
                <w:color w:val="000000"/>
                <w:sz w:val="26"/>
              </w:rPr>
              <w:t>0.058</w:t>
            </w:r>
          </w:p>
        </w:tc>
        <w:tc>
          <w:tcPr>
            <w:tcW w:type="dxa" w:w="1125"/>
            <w:vAlign w:val="center"/>
          </w:tcPr>
          <w:p>
            <w:pPr>
              <w:spacing w:line="360" w:lineRule="auto" w:before="0" w:after="0"/>
            </w:pPr>
            <w:r>
              <w:rPr>
                <w:rFonts w:ascii="Times New Roman" w:hAnsi="Times New Roman"/>
                <w:color w:val="000000"/>
                <w:sz w:val="26"/>
              </w:rPr>
              <w:t>-0.570</w:t>
            </w:r>
          </w:p>
        </w:tc>
        <w:tc>
          <w:tcPr>
            <w:tcW w:type="dxa" w:w="1125"/>
            <w:vAlign w:val="center"/>
          </w:tcPr>
          <w:p>
            <w:pPr>
              <w:spacing w:line="360" w:lineRule="auto" w:before="0" w:after="0"/>
            </w:pPr>
            <w:r>
              <w:rPr>
                <w:rFonts w:ascii="Times New Roman" w:hAnsi="Times New Roman"/>
                <w:color w:val="000000"/>
                <w:sz w:val="26"/>
              </w:rPr>
              <w:t>0</w:t>
            </w:r>
          </w:p>
        </w:tc>
        <w:tc>
          <w:tcPr>
            <w:tcW w:type="dxa" w:w="1125"/>
            <w:vAlign w:val="center"/>
          </w:tcPr>
          <w:p>
            <w:pPr>
              <w:spacing w:line="360" w:lineRule="auto" w:before="0" w:after="0"/>
            </w:pPr>
            <w:r>
              <w:rPr>
                <w:rFonts w:ascii="Times New Roman" w:hAnsi="Times New Roman"/>
                <w:color w:val="000000"/>
                <w:sz w:val="26"/>
              </w:rPr>
              <w:t>0.340</w:t>
            </w:r>
          </w:p>
        </w:tc>
        <w:tc>
          <w:tcPr>
            <w:tcW w:type="dxa" w:w="1125"/>
            <w:vAlign w:val="center"/>
          </w:tcPr>
          <w:p>
            <w:pPr>
              <w:spacing w:line="360" w:lineRule="auto" w:before="0" w:after="0"/>
            </w:pPr>
            <w:r>
              <w:rPr>
                <w:rFonts w:ascii="Times New Roman" w:hAnsi="Times New Roman"/>
                <w:color w:val="000000"/>
                <w:sz w:val="26"/>
              </w:rPr>
              <w:t>31.622</w:t>
            </w:r>
          </w:p>
        </w:tc>
      </w:tr>
      <w:tr>
        <w:tc>
          <w:tcPr>
            <w:tcW w:type="dxa" w:w="1125"/>
            <w:vAlign w:val="center"/>
          </w:tcPr>
          <w:p>
            <w:pPr>
              <w:spacing w:line="360" w:lineRule="auto" w:before="0" w:after="0"/>
            </w:pPr>
            <w:r>
              <w:rPr>
                <w:rFonts w:ascii="Times New Roman" w:hAnsi="Times New Roman"/>
                <w:color w:val="000000"/>
                <w:sz w:val="26"/>
              </w:rPr>
              <w:t>DXY_log_return_pct</w:t>
            </w:r>
          </w:p>
        </w:tc>
        <w:tc>
          <w:tcPr>
            <w:tcW w:type="dxa" w:w="1125"/>
            <w:vAlign w:val="center"/>
          </w:tcPr>
          <w:p>
            <w:pPr>
              <w:spacing w:line="360" w:lineRule="auto" w:before="0" w:after="0"/>
            </w:pPr>
            <w:r>
              <w:rPr>
                <w:rFonts w:ascii="Times New Roman" w:hAnsi="Times New Roman"/>
                <w:color w:val="000000"/>
                <w:sz w:val="26"/>
              </w:rPr>
              <w:t>2,012</w:t>
            </w:r>
          </w:p>
        </w:tc>
        <w:tc>
          <w:tcPr>
            <w:tcW w:type="dxa" w:w="1125"/>
            <w:vAlign w:val="center"/>
          </w:tcPr>
          <w:p>
            <w:pPr>
              <w:spacing w:line="360" w:lineRule="auto" w:before="0" w:after="0"/>
            </w:pPr>
            <w:r>
              <w:rPr>
                <w:rFonts w:ascii="Times New Roman" w:hAnsi="Times New Roman"/>
                <w:color w:val="000000"/>
                <w:sz w:val="26"/>
              </w:rPr>
              <w:t>0.003</w:t>
            </w:r>
          </w:p>
        </w:tc>
        <w:tc>
          <w:tcPr>
            <w:tcW w:type="dxa" w:w="1125"/>
            <w:vAlign w:val="center"/>
          </w:tcPr>
          <w:p>
            <w:pPr>
              <w:spacing w:line="360" w:lineRule="auto" w:before="0" w:after="0"/>
            </w:pPr>
            <w:r>
              <w:rPr>
                <w:rFonts w:ascii="Times New Roman" w:hAnsi="Times New Roman"/>
                <w:color w:val="000000"/>
                <w:sz w:val="26"/>
              </w:rPr>
              <w:t>0.422</w:t>
            </w:r>
          </w:p>
        </w:tc>
        <w:tc>
          <w:tcPr>
            <w:tcW w:type="dxa" w:w="1125"/>
            <w:vAlign w:val="center"/>
          </w:tcPr>
          <w:p>
            <w:pPr>
              <w:spacing w:line="360" w:lineRule="auto" w:before="0" w:after="0"/>
            </w:pPr>
            <w:r>
              <w:rPr>
                <w:rFonts w:ascii="Times New Roman" w:hAnsi="Times New Roman"/>
                <w:color w:val="000000"/>
                <w:sz w:val="26"/>
              </w:rPr>
              <w:t>-2.139</w:t>
            </w:r>
          </w:p>
        </w:tc>
        <w:tc>
          <w:tcPr>
            <w:tcW w:type="dxa" w:w="1125"/>
            <w:vAlign w:val="center"/>
          </w:tcPr>
          <w:p>
            <w:pPr>
              <w:spacing w:line="360" w:lineRule="auto" w:before="0" w:after="0"/>
            </w:pPr>
            <w:r>
              <w:rPr>
                <w:rFonts w:ascii="Times New Roman" w:hAnsi="Times New Roman"/>
                <w:color w:val="000000"/>
                <w:sz w:val="26"/>
              </w:rPr>
              <w:t>0.004</w:t>
            </w:r>
          </w:p>
        </w:tc>
        <w:tc>
          <w:tcPr>
            <w:tcW w:type="dxa" w:w="1125"/>
            <w:vAlign w:val="center"/>
          </w:tcPr>
          <w:p>
            <w:pPr>
              <w:spacing w:line="360" w:lineRule="auto" w:before="0" w:after="0"/>
            </w:pPr>
            <w:r>
              <w:rPr>
                <w:rFonts w:ascii="Times New Roman" w:hAnsi="Times New Roman"/>
                <w:color w:val="000000"/>
                <w:sz w:val="26"/>
              </w:rPr>
              <w:t>1.639</w:t>
            </w:r>
          </w:p>
        </w:tc>
        <w:tc>
          <w:tcPr>
            <w:tcW w:type="dxa" w:w="1125"/>
            <w:vAlign w:val="center"/>
          </w:tcPr>
          <w:p>
            <w:pPr>
              <w:spacing w:line="360" w:lineRule="auto" w:before="0" w:after="0"/>
            </w:pPr>
            <w:r>
              <w:rPr>
                <w:rFonts w:ascii="Times New Roman" w:hAnsi="Times New Roman"/>
                <w:color w:val="000000"/>
                <w:sz w:val="26"/>
              </w:rPr>
              <w:t>31.143</w:t>
            </w:r>
          </w:p>
        </w:tc>
      </w:tr>
      <w:tr>
        <w:tc>
          <w:tcPr>
            <w:tcW w:type="dxa" w:w="1125"/>
            <w:vAlign w:val="center"/>
          </w:tcPr>
          <w:p>
            <w:pPr>
              <w:spacing w:line="360" w:lineRule="auto" w:before="0" w:after="0"/>
            </w:pPr>
            <w:r>
              <w:rPr>
                <w:rFonts w:ascii="Times New Roman" w:hAnsi="Times New Roman"/>
                <w:color w:val="000000"/>
                <w:sz w:val="26"/>
              </w:rPr>
              <w:t>VIX_change_points</w:t>
            </w:r>
          </w:p>
        </w:tc>
        <w:tc>
          <w:tcPr>
            <w:tcW w:type="dxa" w:w="1125"/>
            <w:vAlign w:val="center"/>
          </w:tcPr>
          <w:p>
            <w:pPr>
              <w:spacing w:line="360" w:lineRule="auto" w:before="0" w:after="0"/>
            </w:pPr>
            <w:r>
              <w:rPr>
                <w:rFonts w:ascii="Times New Roman" w:hAnsi="Times New Roman"/>
                <w:color w:val="000000"/>
                <w:sz w:val="26"/>
              </w:rPr>
              <w:t>2,010</w:t>
            </w:r>
          </w:p>
        </w:tc>
        <w:tc>
          <w:tcPr>
            <w:tcW w:type="dxa" w:w="1125"/>
            <w:vAlign w:val="center"/>
          </w:tcPr>
          <w:p>
            <w:pPr>
              <w:spacing w:line="360" w:lineRule="auto" w:before="0" w:after="0"/>
            </w:pPr>
            <w:r>
              <w:rPr>
                <w:rFonts w:ascii="Times New Roman" w:hAnsi="Times New Roman"/>
                <w:color w:val="000000"/>
                <w:sz w:val="26"/>
              </w:rPr>
              <w:t>0.003</w:t>
            </w:r>
          </w:p>
        </w:tc>
        <w:tc>
          <w:tcPr>
            <w:tcW w:type="dxa" w:w="1125"/>
            <w:vAlign w:val="center"/>
          </w:tcPr>
          <w:p>
            <w:pPr>
              <w:spacing w:line="360" w:lineRule="auto" w:before="0" w:after="0"/>
            </w:pPr>
            <w:r>
              <w:rPr>
                <w:rFonts w:ascii="Times New Roman" w:hAnsi="Times New Roman"/>
                <w:color w:val="000000"/>
                <w:sz w:val="26"/>
              </w:rPr>
              <w:t>2.125</w:t>
            </w:r>
          </w:p>
        </w:tc>
        <w:tc>
          <w:tcPr>
            <w:tcW w:type="dxa" w:w="1125"/>
            <w:vAlign w:val="center"/>
          </w:tcPr>
          <w:p>
            <w:pPr>
              <w:spacing w:line="360" w:lineRule="auto" w:before="0" w:after="0"/>
            </w:pPr>
            <w:r>
              <w:rPr>
                <w:rFonts w:ascii="Times New Roman" w:hAnsi="Times New Roman"/>
                <w:color w:val="000000"/>
                <w:sz w:val="26"/>
              </w:rPr>
              <w:t>-18.710</w:t>
            </w:r>
          </w:p>
        </w:tc>
        <w:tc>
          <w:tcPr>
            <w:tcW w:type="dxa" w:w="1125"/>
            <w:vAlign w:val="center"/>
          </w:tcPr>
          <w:p>
            <w:pPr>
              <w:spacing w:line="360" w:lineRule="auto" w:before="0" w:after="0"/>
            </w:pPr>
            <w:r>
              <w:rPr>
                <w:rFonts w:ascii="Times New Roman" w:hAnsi="Times New Roman"/>
                <w:color w:val="000000"/>
                <w:sz w:val="26"/>
              </w:rPr>
              <w:t>-0.140</w:t>
            </w:r>
          </w:p>
        </w:tc>
        <w:tc>
          <w:tcPr>
            <w:tcW w:type="dxa" w:w="1125"/>
            <w:vAlign w:val="center"/>
          </w:tcPr>
          <w:p>
            <w:pPr>
              <w:spacing w:line="360" w:lineRule="auto" w:before="0" w:after="0"/>
            </w:pPr>
            <w:r>
              <w:rPr>
                <w:rFonts w:ascii="Times New Roman" w:hAnsi="Times New Roman"/>
                <w:color w:val="000000"/>
                <w:sz w:val="26"/>
              </w:rPr>
              <w:t>24.860</w:t>
            </w:r>
          </w:p>
        </w:tc>
        <w:tc>
          <w:tcPr>
            <w:tcW w:type="dxa" w:w="1125"/>
            <w:vAlign w:val="center"/>
          </w:tcPr>
          <w:p>
            <w:pPr>
              <w:spacing w:line="360" w:lineRule="auto" w:before="0" w:after="0"/>
            </w:pPr>
            <w:r>
              <w:rPr>
                <w:rFonts w:ascii="Times New Roman" w:hAnsi="Times New Roman"/>
                <w:color w:val="000000"/>
                <w:sz w:val="26"/>
              </w:rPr>
              <w:t>31.211</w:t>
            </w:r>
          </w:p>
        </w:tc>
      </w:tr>
    </w:tbl>
    <w:p>
      <w:pPr>
        <w:spacing w:line="360" w:lineRule="auto"/>
      </w:pPr>
      <w:r>
        <w:rPr>
          <w:rFonts w:ascii="Times New Roman" w:hAnsi="Times New Roman"/>
          <w:color w:val="000000"/>
          <w:sz w:val="26"/>
        </w:rPr>
        <w:t>Xét các biến giá, BTC và ETH có quy mô giá trung bình khác nhau và mức độ phân tán đáng kể trong giai đoạn nghiên cứu. Do giá tài sản có xu hướng biến động theo thời gian, các thống kê về mức giá được sử dụng chủ yếu để mô tả dữ liệu, không thay thế việc phân tích lợi suất.</w:t>
      </w:r>
    </w:p>
    <w:p>
      <w:pPr>
        <w:spacing w:line="360" w:lineRule="auto"/>
      </w:pPr>
      <w:r>
        <w:rPr>
          <w:rFonts w:ascii="Times New Roman" w:hAnsi="Times New Roman"/>
          <w:color w:val="000000"/>
          <w:sz w:val="26"/>
        </w:rPr>
        <w:t>Đối với lợi suất log theo ngày, độ lệch chuẩn của ETH cao hơn BTC trong mẫu mô tả, cho thấy lợi suất ETH có mức phân tán lớn hơn trong giai đoạn được khảo sát. Các biến vĩ mô có số quan sát hợp lệ thấp hơn chuỗi giá crypto do lịch giao dịch và công bố không bao phủ toàn bộ ngày lịch. Vì vậy, việc so sánh các biến cần dựa trên mẫu thực tế được sử dụng trong từng phân tích.</w:t>
      </w:r>
    </w:p>
    <w:p>
      <w:pPr>
        <w:spacing w:line="360" w:lineRule="auto"/>
      </w:pPr>
      <w:r>
        <w:rPr>
          <w:rFonts w:ascii="Times New Roman" w:hAnsi="Times New Roman"/>
          <w:color w:val="000000"/>
          <w:sz w:val="26"/>
        </w:rPr>
        <w:t>Ma trận tương quan dùng cùng nhóm biến lợi suất/thay đổi được phân tích ở Chương 3. Hệ số tương quan mô tả quan hệ tuyến tính không điều kiện; tương quan không xác lập quan hệ nhân quả, và cỡ mẫu có thể khác nhau giữa các cặp biến nếu dùng loại bỏ thiếu theo cặp.</w:t>
      </w:r>
    </w:p>
    <w:tbl>
      <w:tblPr>
        <w:tblStyle w:val="TableGrid"/>
        <w:tblW w:type="auto" w:w="0"/>
        <w:jc w:val="center"/>
        <w:tblLayout w:type="autofit"/>
        <w:tblLook w:firstColumn="1" w:firstRow="1" w:lastColumn="0" w:lastRow="0" w:noHBand="0" w:noVBand="1" w:val="04A0"/>
      </w:tblPr>
      <w:tblGrid>
        <w:gridCol w:w="1500"/>
        <w:gridCol w:w="1500"/>
        <w:gridCol w:w="1500"/>
        <w:gridCol w:w="1500"/>
        <w:gridCol w:w="1500"/>
        <w:gridCol w:w="1500"/>
      </w:tblGrid>
      <w:tr>
        <w:tc>
          <w:tcPr>
            <w:tcW w:type="dxa" w:w="1500"/>
            <w:vAlign w:val="center"/>
          </w:tcPr>
          <w:p>
            <w:pPr>
              <w:spacing w:line="360" w:lineRule="auto" w:before="0" w:after="0"/>
            </w:pPr>
            <w:r>
              <w:rPr>
                <w:rFonts w:ascii="Times New Roman" w:hAnsi="Times New Roman"/>
                <w:b/>
                <w:color w:val="000000"/>
                <w:sz w:val="26"/>
              </w:rPr>
              <w:t>Biến</w:t>
            </w:r>
          </w:p>
        </w:tc>
        <w:tc>
          <w:tcPr>
            <w:tcW w:type="dxa" w:w="1500"/>
            <w:vAlign w:val="center"/>
          </w:tcPr>
          <w:p>
            <w:pPr>
              <w:spacing w:line="360" w:lineRule="auto" w:before="0" w:after="0"/>
            </w:pPr>
            <w:r>
              <w:rPr>
                <w:rFonts w:ascii="Times New Roman" w:hAnsi="Times New Roman"/>
                <w:b/>
                <w:color w:val="000000"/>
                <w:sz w:val="26"/>
              </w:rPr>
              <w:t>BTC_log_return_pct</w:t>
            </w:r>
          </w:p>
        </w:tc>
        <w:tc>
          <w:tcPr>
            <w:tcW w:type="dxa" w:w="1500"/>
            <w:vAlign w:val="center"/>
          </w:tcPr>
          <w:p>
            <w:pPr>
              <w:spacing w:line="360" w:lineRule="auto" w:before="0" w:after="0"/>
            </w:pPr>
            <w:r>
              <w:rPr>
                <w:rFonts w:ascii="Times New Roman" w:hAnsi="Times New Roman"/>
                <w:b/>
                <w:color w:val="000000"/>
                <w:sz w:val="26"/>
              </w:rPr>
              <w:t>ETH_log_return_pct</w:t>
            </w:r>
          </w:p>
        </w:tc>
        <w:tc>
          <w:tcPr>
            <w:tcW w:type="dxa" w:w="1500"/>
            <w:vAlign w:val="center"/>
          </w:tcPr>
          <w:p>
            <w:pPr>
              <w:spacing w:line="360" w:lineRule="auto" w:before="0" w:after="0"/>
            </w:pPr>
            <w:r>
              <w:rPr>
                <w:rFonts w:ascii="Times New Roman" w:hAnsi="Times New Roman"/>
                <w:b/>
                <w:color w:val="000000"/>
                <w:sz w:val="26"/>
              </w:rPr>
              <w:t>US2Y_change_pp</w:t>
            </w:r>
          </w:p>
        </w:tc>
        <w:tc>
          <w:tcPr>
            <w:tcW w:type="dxa" w:w="1500"/>
            <w:vAlign w:val="center"/>
          </w:tcPr>
          <w:p>
            <w:pPr>
              <w:spacing w:line="360" w:lineRule="auto" w:before="0" w:after="0"/>
            </w:pPr>
            <w:r>
              <w:rPr>
                <w:rFonts w:ascii="Times New Roman" w:hAnsi="Times New Roman"/>
                <w:b/>
                <w:color w:val="000000"/>
                <w:sz w:val="26"/>
              </w:rPr>
              <w:t>DXY_log_return_pct</w:t>
            </w:r>
          </w:p>
        </w:tc>
        <w:tc>
          <w:tcPr>
            <w:tcW w:type="dxa" w:w="1500"/>
            <w:vAlign w:val="center"/>
          </w:tcPr>
          <w:p>
            <w:pPr>
              <w:spacing w:line="360" w:lineRule="auto" w:before="0" w:after="0"/>
            </w:pPr>
            <w:r>
              <w:rPr>
                <w:rFonts w:ascii="Times New Roman" w:hAnsi="Times New Roman"/>
                <w:b/>
                <w:color w:val="000000"/>
                <w:sz w:val="26"/>
              </w:rPr>
              <w:t>VIX_change_points</w:t>
            </w:r>
          </w:p>
        </w:tc>
      </w:tr>
      <w:tr>
        <w:tc>
          <w:tcPr>
            <w:tcW w:type="dxa" w:w="1500"/>
            <w:vAlign w:val="center"/>
          </w:tcPr>
          <w:p>
            <w:pPr>
              <w:spacing w:line="360" w:lineRule="auto" w:before="0" w:after="0"/>
            </w:pPr>
            <w:r>
              <w:rPr>
                <w:rFonts w:ascii="Times New Roman" w:hAnsi="Times New Roman"/>
                <w:color w:val="000000"/>
                <w:sz w:val="26"/>
              </w:rPr>
              <w:t>BTC_log_return_pct</w:t>
            </w:r>
          </w:p>
        </w:tc>
        <w:tc>
          <w:tcPr>
            <w:tcW w:type="dxa" w:w="1500"/>
            <w:vAlign w:val="center"/>
          </w:tcPr>
          <w:p>
            <w:pPr>
              <w:spacing w:line="360" w:lineRule="auto" w:before="0" w:after="0"/>
            </w:pPr>
            <w:r>
              <w:rPr>
                <w:rFonts w:ascii="Times New Roman" w:hAnsi="Times New Roman"/>
                <w:color w:val="000000"/>
                <w:sz w:val="26"/>
              </w:rPr>
              <w:t>1</w:t>
            </w:r>
          </w:p>
        </w:tc>
        <w:tc>
          <w:tcPr>
            <w:tcW w:type="dxa" w:w="1500"/>
            <w:vAlign w:val="center"/>
          </w:tcPr>
          <w:p>
            <w:pPr>
              <w:spacing w:line="360" w:lineRule="auto" w:before="0" w:after="0"/>
            </w:pPr>
            <w:r>
              <w:rPr>
                <w:rFonts w:ascii="Times New Roman" w:hAnsi="Times New Roman"/>
                <w:color w:val="000000"/>
                <w:sz w:val="26"/>
              </w:rPr>
              <w:t>0.825</w:t>
            </w:r>
          </w:p>
        </w:tc>
        <w:tc>
          <w:tcPr>
            <w:tcW w:type="dxa" w:w="1500"/>
            <w:vAlign w:val="center"/>
          </w:tcPr>
          <w:p>
            <w:pPr>
              <w:spacing w:line="360" w:lineRule="auto" w:before="0" w:after="0"/>
            </w:pPr>
            <w:r>
              <w:rPr>
                <w:rFonts w:ascii="Times New Roman" w:hAnsi="Times New Roman"/>
                <w:color w:val="000000"/>
                <w:sz w:val="26"/>
              </w:rPr>
              <w:t>-0.024</w:t>
            </w:r>
          </w:p>
        </w:tc>
        <w:tc>
          <w:tcPr>
            <w:tcW w:type="dxa" w:w="1500"/>
            <w:vAlign w:val="center"/>
          </w:tcPr>
          <w:p>
            <w:pPr>
              <w:spacing w:line="360" w:lineRule="auto" w:before="0" w:after="0"/>
            </w:pPr>
            <w:r>
              <w:rPr>
                <w:rFonts w:ascii="Times New Roman" w:hAnsi="Times New Roman"/>
                <w:color w:val="000000"/>
                <w:sz w:val="26"/>
              </w:rPr>
              <w:t>-0.118</w:t>
            </w:r>
          </w:p>
        </w:tc>
        <w:tc>
          <w:tcPr>
            <w:tcW w:type="dxa" w:w="1500"/>
            <w:vAlign w:val="center"/>
          </w:tcPr>
          <w:p>
            <w:pPr>
              <w:spacing w:line="360" w:lineRule="auto" w:before="0" w:after="0"/>
            </w:pPr>
            <w:r>
              <w:rPr>
                <w:rFonts w:ascii="Times New Roman" w:hAnsi="Times New Roman"/>
                <w:color w:val="000000"/>
                <w:sz w:val="26"/>
              </w:rPr>
              <w:t>-0.326</w:t>
            </w:r>
          </w:p>
        </w:tc>
      </w:tr>
      <w:tr>
        <w:tc>
          <w:tcPr>
            <w:tcW w:type="dxa" w:w="1500"/>
            <w:vAlign w:val="center"/>
          </w:tcPr>
          <w:p>
            <w:pPr>
              <w:spacing w:line="360" w:lineRule="auto" w:before="0" w:after="0"/>
            </w:pPr>
            <w:r>
              <w:rPr>
                <w:rFonts w:ascii="Times New Roman" w:hAnsi="Times New Roman"/>
                <w:color w:val="000000"/>
                <w:sz w:val="26"/>
              </w:rPr>
              <w:t>ETH_log_return_pct</w:t>
            </w:r>
          </w:p>
        </w:tc>
        <w:tc>
          <w:tcPr>
            <w:tcW w:type="dxa" w:w="1500"/>
            <w:vAlign w:val="center"/>
          </w:tcPr>
          <w:p>
            <w:pPr>
              <w:spacing w:line="360" w:lineRule="auto" w:before="0" w:after="0"/>
            </w:pPr>
            <w:r>
              <w:rPr>
                <w:rFonts w:ascii="Times New Roman" w:hAnsi="Times New Roman"/>
                <w:color w:val="000000"/>
                <w:sz w:val="26"/>
              </w:rPr>
              <w:t>0.825</w:t>
            </w:r>
          </w:p>
        </w:tc>
        <w:tc>
          <w:tcPr>
            <w:tcW w:type="dxa" w:w="1500"/>
            <w:vAlign w:val="center"/>
          </w:tcPr>
          <w:p>
            <w:pPr>
              <w:spacing w:line="360" w:lineRule="auto" w:before="0" w:after="0"/>
            </w:pPr>
            <w:r>
              <w:rPr>
                <w:rFonts w:ascii="Times New Roman" w:hAnsi="Times New Roman"/>
                <w:color w:val="000000"/>
                <w:sz w:val="26"/>
              </w:rPr>
              <w:t>1</w:t>
            </w:r>
          </w:p>
        </w:tc>
        <w:tc>
          <w:tcPr>
            <w:tcW w:type="dxa" w:w="1500"/>
            <w:vAlign w:val="center"/>
          </w:tcPr>
          <w:p>
            <w:pPr>
              <w:spacing w:line="360" w:lineRule="auto" w:before="0" w:after="0"/>
            </w:pPr>
            <w:r>
              <w:rPr>
                <w:rFonts w:ascii="Times New Roman" w:hAnsi="Times New Roman"/>
                <w:color w:val="000000"/>
                <w:sz w:val="26"/>
              </w:rPr>
              <w:t>-0.013</w:t>
            </w:r>
          </w:p>
        </w:tc>
        <w:tc>
          <w:tcPr>
            <w:tcW w:type="dxa" w:w="1500"/>
            <w:vAlign w:val="center"/>
          </w:tcPr>
          <w:p>
            <w:pPr>
              <w:spacing w:line="360" w:lineRule="auto" w:before="0" w:after="0"/>
            </w:pPr>
            <w:r>
              <w:rPr>
                <w:rFonts w:ascii="Times New Roman" w:hAnsi="Times New Roman"/>
                <w:color w:val="000000"/>
                <w:sz w:val="26"/>
              </w:rPr>
              <w:t>-0.109</w:t>
            </w:r>
          </w:p>
        </w:tc>
        <w:tc>
          <w:tcPr>
            <w:tcW w:type="dxa" w:w="1500"/>
            <w:vAlign w:val="center"/>
          </w:tcPr>
          <w:p>
            <w:pPr>
              <w:spacing w:line="360" w:lineRule="auto" w:before="0" w:after="0"/>
            </w:pPr>
            <w:r>
              <w:rPr>
                <w:rFonts w:ascii="Times New Roman" w:hAnsi="Times New Roman"/>
                <w:color w:val="000000"/>
                <w:sz w:val="26"/>
              </w:rPr>
              <w:t>-0.344</w:t>
            </w:r>
          </w:p>
        </w:tc>
      </w:tr>
      <w:tr>
        <w:tc>
          <w:tcPr>
            <w:tcW w:type="dxa" w:w="1500"/>
            <w:vAlign w:val="center"/>
          </w:tcPr>
          <w:p>
            <w:pPr>
              <w:spacing w:line="360" w:lineRule="auto" w:before="0" w:after="0"/>
            </w:pPr>
            <w:r>
              <w:rPr>
                <w:rFonts w:ascii="Times New Roman" w:hAnsi="Times New Roman"/>
                <w:color w:val="000000"/>
                <w:sz w:val="26"/>
              </w:rPr>
              <w:t>US2Y_change_pp</w:t>
            </w:r>
          </w:p>
        </w:tc>
        <w:tc>
          <w:tcPr>
            <w:tcW w:type="dxa" w:w="1500"/>
            <w:vAlign w:val="center"/>
          </w:tcPr>
          <w:p>
            <w:pPr>
              <w:spacing w:line="360" w:lineRule="auto" w:before="0" w:after="0"/>
            </w:pPr>
            <w:r>
              <w:rPr>
                <w:rFonts w:ascii="Times New Roman" w:hAnsi="Times New Roman"/>
                <w:color w:val="000000"/>
                <w:sz w:val="26"/>
              </w:rPr>
              <w:t>-0.024</w:t>
            </w:r>
          </w:p>
        </w:tc>
        <w:tc>
          <w:tcPr>
            <w:tcW w:type="dxa" w:w="1500"/>
            <w:vAlign w:val="center"/>
          </w:tcPr>
          <w:p>
            <w:pPr>
              <w:spacing w:line="360" w:lineRule="auto" w:before="0" w:after="0"/>
            </w:pPr>
            <w:r>
              <w:rPr>
                <w:rFonts w:ascii="Times New Roman" w:hAnsi="Times New Roman"/>
                <w:color w:val="000000"/>
                <w:sz w:val="26"/>
              </w:rPr>
              <w:t>-0.013</w:t>
            </w:r>
          </w:p>
        </w:tc>
        <w:tc>
          <w:tcPr>
            <w:tcW w:type="dxa" w:w="1500"/>
            <w:vAlign w:val="center"/>
          </w:tcPr>
          <w:p>
            <w:pPr>
              <w:spacing w:line="360" w:lineRule="auto" w:before="0" w:after="0"/>
            </w:pPr>
            <w:r>
              <w:rPr>
                <w:rFonts w:ascii="Times New Roman" w:hAnsi="Times New Roman"/>
                <w:color w:val="000000"/>
                <w:sz w:val="26"/>
              </w:rPr>
              <w:t>1</w:t>
            </w:r>
          </w:p>
        </w:tc>
        <w:tc>
          <w:tcPr>
            <w:tcW w:type="dxa" w:w="1500"/>
            <w:vAlign w:val="center"/>
          </w:tcPr>
          <w:p>
            <w:pPr>
              <w:spacing w:line="360" w:lineRule="auto" w:before="0" w:after="0"/>
            </w:pPr>
            <w:r>
              <w:rPr>
                <w:rFonts w:ascii="Times New Roman" w:hAnsi="Times New Roman"/>
                <w:color w:val="000000"/>
                <w:sz w:val="26"/>
              </w:rPr>
              <w:t>0.350</w:t>
            </w:r>
          </w:p>
        </w:tc>
        <w:tc>
          <w:tcPr>
            <w:tcW w:type="dxa" w:w="1500"/>
            <w:vAlign w:val="center"/>
          </w:tcPr>
          <w:p>
            <w:pPr>
              <w:spacing w:line="360" w:lineRule="auto" w:before="0" w:after="0"/>
            </w:pPr>
            <w:r>
              <w:rPr>
                <w:rFonts w:ascii="Times New Roman" w:hAnsi="Times New Roman"/>
                <w:color w:val="000000"/>
                <w:sz w:val="26"/>
              </w:rPr>
              <w:t>-0.138</w:t>
            </w:r>
          </w:p>
        </w:tc>
      </w:tr>
      <w:tr>
        <w:tc>
          <w:tcPr>
            <w:tcW w:type="dxa" w:w="1500"/>
            <w:vAlign w:val="center"/>
          </w:tcPr>
          <w:p>
            <w:pPr>
              <w:spacing w:line="360" w:lineRule="auto" w:before="0" w:after="0"/>
            </w:pPr>
            <w:r>
              <w:rPr>
                <w:rFonts w:ascii="Times New Roman" w:hAnsi="Times New Roman"/>
                <w:color w:val="000000"/>
                <w:sz w:val="26"/>
              </w:rPr>
              <w:t>DXY_log_return_pct</w:t>
            </w:r>
          </w:p>
        </w:tc>
        <w:tc>
          <w:tcPr>
            <w:tcW w:type="dxa" w:w="1500"/>
            <w:vAlign w:val="center"/>
          </w:tcPr>
          <w:p>
            <w:pPr>
              <w:spacing w:line="360" w:lineRule="auto" w:before="0" w:after="0"/>
            </w:pPr>
            <w:r>
              <w:rPr>
                <w:rFonts w:ascii="Times New Roman" w:hAnsi="Times New Roman"/>
                <w:color w:val="000000"/>
                <w:sz w:val="26"/>
              </w:rPr>
              <w:t>-0.118</w:t>
            </w:r>
          </w:p>
        </w:tc>
        <w:tc>
          <w:tcPr>
            <w:tcW w:type="dxa" w:w="1500"/>
            <w:vAlign w:val="center"/>
          </w:tcPr>
          <w:p>
            <w:pPr>
              <w:spacing w:line="360" w:lineRule="auto" w:before="0" w:after="0"/>
            </w:pPr>
            <w:r>
              <w:rPr>
                <w:rFonts w:ascii="Times New Roman" w:hAnsi="Times New Roman"/>
                <w:color w:val="000000"/>
                <w:sz w:val="26"/>
              </w:rPr>
              <w:t>-0.109</w:t>
            </w:r>
          </w:p>
        </w:tc>
        <w:tc>
          <w:tcPr>
            <w:tcW w:type="dxa" w:w="1500"/>
            <w:vAlign w:val="center"/>
          </w:tcPr>
          <w:p>
            <w:pPr>
              <w:spacing w:line="360" w:lineRule="auto" w:before="0" w:after="0"/>
            </w:pPr>
            <w:r>
              <w:rPr>
                <w:rFonts w:ascii="Times New Roman" w:hAnsi="Times New Roman"/>
                <w:color w:val="000000"/>
                <w:sz w:val="26"/>
              </w:rPr>
              <w:t>0.350</w:t>
            </w:r>
          </w:p>
        </w:tc>
        <w:tc>
          <w:tcPr>
            <w:tcW w:type="dxa" w:w="1500"/>
            <w:vAlign w:val="center"/>
          </w:tcPr>
          <w:p>
            <w:pPr>
              <w:spacing w:line="360" w:lineRule="auto" w:before="0" w:after="0"/>
            </w:pPr>
            <w:r>
              <w:rPr>
                <w:rFonts w:ascii="Times New Roman" w:hAnsi="Times New Roman"/>
                <w:color w:val="000000"/>
                <w:sz w:val="26"/>
              </w:rPr>
              <w:t>1</w:t>
            </w:r>
          </w:p>
        </w:tc>
        <w:tc>
          <w:tcPr>
            <w:tcW w:type="dxa" w:w="1500"/>
            <w:vAlign w:val="center"/>
          </w:tcPr>
          <w:p>
            <w:pPr>
              <w:spacing w:line="360" w:lineRule="auto" w:before="0" w:after="0"/>
            </w:pPr>
            <w:r>
              <w:rPr>
                <w:rFonts w:ascii="Times New Roman" w:hAnsi="Times New Roman"/>
                <w:color w:val="000000"/>
                <w:sz w:val="26"/>
              </w:rPr>
              <w:t>0.040</w:t>
            </w:r>
          </w:p>
        </w:tc>
      </w:tr>
      <w:tr>
        <w:tc>
          <w:tcPr>
            <w:tcW w:type="dxa" w:w="1500"/>
            <w:vAlign w:val="center"/>
          </w:tcPr>
          <w:p>
            <w:pPr>
              <w:spacing w:line="360" w:lineRule="auto" w:before="0" w:after="0"/>
            </w:pPr>
            <w:r>
              <w:rPr>
                <w:rFonts w:ascii="Times New Roman" w:hAnsi="Times New Roman"/>
                <w:color w:val="000000"/>
                <w:sz w:val="26"/>
              </w:rPr>
              <w:t>VIX_change_points</w:t>
            </w:r>
          </w:p>
        </w:tc>
        <w:tc>
          <w:tcPr>
            <w:tcW w:type="dxa" w:w="1500"/>
            <w:vAlign w:val="center"/>
          </w:tcPr>
          <w:p>
            <w:pPr>
              <w:spacing w:line="360" w:lineRule="auto" w:before="0" w:after="0"/>
            </w:pPr>
            <w:r>
              <w:rPr>
                <w:rFonts w:ascii="Times New Roman" w:hAnsi="Times New Roman"/>
                <w:color w:val="000000"/>
                <w:sz w:val="26"/>
              </w:rPr>
              <w:t>-0.326</w:t>
            </w:r>
          </w:p>
        </w:tc>
        <w:tc>
          <w:tcPr>
            <w:tcW w:type="dxa" w:w="1500"/>
            <w:vAlign w:val="center"/>
          </w:tcPr>
          <w:p>
            <w:pPr>
              <w:spacing w:line="360" w:lineRule="auto" w:before="0" w:after="0"/>
            </w:pPr>
            <w:r>
              <w:rPr>
                <w:rFonts w:ascii="Times New Roman" w:hAnsi="Times New Roman"/>
                <w:color w:val="000000"/>
                <w:sz w:val="26"/>
              </w:rPr>
              <w:t>-0.344</w:t>
            </w:r>
          </w:p>
        </w:tc>
        <w:tc>
          <w:tcPr>
            <w:tcW w:type="dxa" w:w="1500"/>
            <w:vAlign w:val="center"/>
          </w:tcPr>
          <w:p>
            <w:pPr>
              <w:spacing w:line="360" w:lineRule="auto" w:before="0" w:after="0"/>
            </w:pPr>
            <w:r>
              <w:rPr>
                <w:rFonts w:ascii="Times New Roman" w:hAnsi="Times New Roman"/>
                <w:color w:val="000000"/>
                <w:sz w:val="26"/>
              </w:rPr>
              <w:t>-0.138</w:t>
            </w:r>
          </w:p>
        </w:tc>
        <w:tc>
          <w:tcPr>
            <w:tcW w:type="dxa" w:w="1500"/>
            <w:vAlign w:val="center"/>
          </w:tcPr>
          <w:p>
            <w:pPr>
              <w:spacing w:line="360" w:lineRule="auto" w:before="0" w:after="0"/>
            </w:pPr>
            <w:r>
              <w:rPr>
                <w:rFonts w:ascii="Times New Roman" w:hAnsi="Times New Roman"/>
                <w:color w:val="000000"/>
                <w:sz w:val="26"/>
              </w:rPr>
              <w:t>0.040</w:t>
            </w:r>
          </w:p>
        </w:tc>
        <w:tc>
          <w:tcPr>
            <w:tcW w:type="dxa" w:w="1500"/>
            <w:vAlign w:val="center"/>
          </w:tcPr>
          <w:p>
            <w:pPr>
              <w:spacing w:line="360" w:lineRule="auto" w:before="0" w:after="0"/>
            </w:pPr>
            <w:r>
              <w:rPr>
                <w:rFonts w:ascii="Times New Roman" w:hAnsi="Times New Roman"/>
                <w:color w:val="000000"/>
                <w:sz w:val="26"/>
              </w:rPr>
              <w:t>1</w:t>
            </w:r>
          </w:p>
        </w:tc>
      </w:tr>
    </w:tbl>
    <w:p>
      <w:pPr>
        <w:spacing w:line="360" w:lineRule="auto"/>
      </w:pPr>
      <w:r>
        <w:rPr>
          <w:rFonts w:ascii="Times New Roman" w:hAnsi="Times New Roman"/>
          <w:color w:val="000000"/>
          <w:sz w:val="26"/>
        </w:rPr>
        <w:t>Ma trận cho thấy lợi suất BTC và ETH có tương quan dương tương đối cao (0,825), phản ánh mức độ đồng biến trong mẫu. Thay đổi VIX có tương quan âm với lợi suất BTC (-0,326) và ETH (-0,344), trong khi lợi suất DXY có tương quan âm với lợi suất của hai tài sản ở mức thấp hơn. Thay đổi US2Y có tương quan tuyến tính gần bằng không với lợi suất BTC và ETH trong ma trận này.</w:t>
      </w:r>
    </w:p>
    <w:p>
      <w:pPr>
        <w:spacing w:line="360" w:lineRule="auto"/>
      </w:pPr>
      <w:r>
        <w:rPr>
          <w:rFonts w:ascii="Times New Roman" w:hAnsi="Times New Roman"/>
          <w:color w:val="000000"/>
          <w:sz w:val="26"/>
        </w:rPr>
        <w:t>Đây là các tương quan tuyến tính không điều kiện, không phản ánh đầy đủ quan hệ động, độ trễ hoặc sự khác biệt giữa các trạng thái thị trường. Các kết quả này không đủ để kết luận về quan hệ nhân quả; những vấn đề đó được xem xét riêng trong các mô hình kinh tế lượng ở Chương 3.</w:t>
      </w:r>
    </w:p>
    <w:p>
      <w:pPr>
        <w:pStyle w:val="Heading1"/>
        <w:spacing w:line="360" w:lineRule="auto"/>
      </w:pPr>
      <w:r>
        <w:rPr>
          <w:rFonts w:ascii="Times New Roman" w:hAnsi="Times New Roman"/>
          <w:b/>
          <w:color w:val="000000"/>
          <w:sz w:val="26"/>
        </w:rPr>
        <w:t>2.7. Phân kỳ mẫu và trạng thái thị trường</w:t>
      </w:r>
    </w:p>
    <w:p>
      <w:pPr>
        <w:spacing w:line="360" w:lineRule="auto"/>
      </w:pPr>
      <w:r>
        <w:rPr>
          <w:rFonts w:ascii="Times New Roman" w:hAnsi="Times New Roman"/>
          <w:color w:val="000000"/>
          <w:sz w:val="26"/>
        </w:rPr>
        <w:t>Để thống nhất với Chương 3, phân tích trước/sau năm 2020 chia mẫu thành giai đoạn 2018–2019 và 2020–2025. Khi diễn giải, cần kiểm định trực tiếp chênh lệch hệ số; việc một hệ số có ý nghĩa trong một giai đoạn nhưng không có ý nghĩa ở giai đoạn còn lại không tự nó chứng minh hai hệ số khác nhau. Các p-value từ nhiều phép thử được xem xét cùng điều chỉnh Benjamini–Hochberg (FDR 5%) như báo cáo ở Chương 3.</w:t>
      </w:r>
    </w:p>
    <w:p>
      <w:pPr>
        <w:spacing w:line="360" w:lineRule="auto"/>
      </w:pPr>
      <w:r>
        <w:rPr>
          <w:rFonts w:ascii="Times New Roman" w:hAnsi="Times New Roman"/>
          <w:color w:val="000000"/>
          <w:sz w:val="26"/>
        </w:rPr>
        <w:t>Trạng thái thị trường cơ sở được xác định bằng VIX ở phiên quan sát vĩ mô trước đó: Calm nếu VIX trễ &lt; 30 và Stress nếu VIX trễ ≥ 30. Dùng giá trị trễ giúp tránh phân loại trạng thái bằng chính giá trị VIX đương kỳ. Các ngưỡng 25 và 35 được sử dụng như kiểm tra độ nhạy, không thay thế tùy ý quy tắc cơ sở. Mẫu Stress nhỏ hơn đáng kể nên các ước lượng ở trạng thái này có thể kém chính xác.</w:t>
      </w:r>
    </w:p>
    <w:p>
      <w:pPr>
        <w:spacing w:line="360" w:lineRule="auto"/>
      </w:pPr>
      <w:r>
        <w:rPr>
          <w:rFonts w:ascii="Times New Roman" w:hAnsi="Times New Roman"/>
          <w:color w:val="000000"/>
          <w:sz w:val="26"/>
        </w:rPr>
        <w:t>Đối với Chương 4, năm 2025 là tập kiểm tra ngoài mẫu gồm 365 ngày dự báo cho mỗi tài sản; giai đoạn đến hết năm 2024 được dùng để huấn luyện và lựa chọn tham số qua xác thực theo thời gian. Thông tin chuẩn hóa, điền khuyết và các lựa chọn mô hình không được ước lượng từ tập kiểm tra 2025.</w:t>
      </w:r>
    </w:p>
    <w:p>
      <w:pPr>
        <w:spacing w:line="360" w:lineRule="auto"/>
      </w:pPr>
      <w:r>
        <w:rPr>
          <w:rFonts w:ascii="Times New Roman" w:hAnsi="Times New Roman"/>
          <w:color w:val="000000"/>
          <w:sz w:val="26"/>
        </w:rPr>
        <w:t>Trong bài toán học máy ở Chương 4, biến mục tiêu là độ lớn lợi suất log của ngày kế tiếp, được xác định bằng y_(t+1) = |r_(t+1)|. Biến mục tiêu được đo bằng điểm phần trăm mỗi ngày và không phải thước đo phương sai thực hiện trên một cửa sổ nhiều ngày, VaR hay ES.</w:t>
      </w:r>
    </w:p>
    <w:p>
      <w:pPr>
        <w:spacing w:line="360" w:lineRule="auto"/>
      </w:pPr>
      <w:r>
        <w:rPr>
          <w:rFonts w:ascii="Times New Roman" w:hAnsi="Times New Roman"/>
          <w:color w:val="000000"/>
          <w:sz w:val="26"/>
        </w:rPr>
        <w:t>Nghiên cứu so sánh hai bộ đặc trưng. Bộ Crypto-only gồm 40 đặc trưng được xây dựng từ thông tin giá và lợi suất crypto, bao gồm các độ trễ của lợi suất, độ lớn lợi suất, thống kê cuộn với cửa sổ 3, 7, 14 và 30 ngày, cùng các đặc trưng chu kỳ thứ trong tuần. Bộ Crypto+Macro bổ sung 12 đặc trưng vĩ mô, gồm mức quan sát gần nhất, thay đổi mới được ghi nhận, cờ quan sát mới và số ngày kể từ lần quan sát trước cho từng chuỗi US2Y, DXY và VIX.</w:t>
      </w:r>
    </w:p>
    <w:p>
      <w:pPr>
        <w:spacing w:line="360" w:lineRule="auto"/>
      </w:pPr>
      <w:r>
        <w:rPr>
          <w:rFonts w:ascii="Times New Roman" w:hAnsi="Times New Roman"/>
          <w:color w:val="000000"/>
          <w:sz w:val="26"/>
        </w:rPr>
        <w:t>Các mô hình dự báo gồm chuẩn đối chiếu là trung bình độ lớn lợi suất trong 30 ngày gần nhất, Elastic Net và XGBoost. Hai bộ đặc trưng được đánh giá riêng cho BTC và ETH. Dữ liệu được chia theo thời gian: các năm 2022–2024 được sử dụng cho quy trình xác thực và lựa chọn mô hình, sau đó mô hình được huấn luyện bằng dữ liệu đến hết năm 2024 và đánh giá trên 365 ngày của năm 2025. Dữ liệu nhãn năm 2025 không được sử dụng để huấn luyện hoặc lựa chọn mô hình.</w:t>
      </w:r>
    </w:p>
    <w:p>
      <w:pPr>
        <w:spacing w:line="360" w:lineRule="auto"/>
      </w:pPr>
      <w:r>
        <w:rPr>
          <w:rFonts w:ascii="Times New Roman" w:hAnsi="Times New Roman"/>
          <w:color w:val="000000"/>
          <w:sz w:val="26"/>
        </w:rPr>
        <w:t>Các bước điền khuyết và chuẩn hóa được ước lượng từ dữ liệu huấn luyện rồi áp dụng cho dữ liệu đánh giá. Đối với đặc trưng vĩ mô, thông tin tại ngày t chỉ được sử dụng để dự báo từ ngày t+1 trở đi; cờ quan sát mới và biến thay đổi không được lặp lại giả tạo vào những ngày không có quan sát mới. Hiệu quả dự báo được đánh giá bằng MAE và RMSE. Chênh lệch MAE giữa hai bộ đặc trưng được phân tích thêm bằng bootstrap khối thời gian, với độ dài khối 7 ngày và 2.000 lần lặp.</w:t>
      </w:r>
    </w:p>
    <w:p>
      <w:pPr>
        <w:spacing w:line="360" w:lineRule="auto"/>
      </w:pPr>
      <w:r>
        <w:rPr>
          <w:rFonts w:ascii="Times New Roman" w:hAnsi="Times New Roman"/>
          <w:color w:val="000000"/>
          <w:sz w:val="26"/>
        </w:rPr>
        <w:t>Đối với Elastic Net, mức độ quan trọng của đặc trưng được xem xét thông qua trị tuyệt đối của hệ số chuẩn hóa; đối với XGBoost, sử dụng thước đo gain. Hai thước đo này khác nhau về bản chất nên không được so sánh trực tiếp về độ lớn.</w:t>
      </w:r>
    </w:p>
    <w:p>
      <w:pPr>
        <w:pStyle w:val="Heading1"/>
        <w:spacing w:line="360" w:lineRule="auto"/>
      </w:pPr>
      <w:r>
        <w:rPr>
          <w:rFonts w:ascii="Times New Roman" w:hAnsi="Times New Roman"/>
          <w:b/>
          <w:color w:val="000000"/>
          <w:sz w:val="26"/>
        </w:rPr>
        <w:t>2.8. Khả năng tái lập và liên kết với các chương kết quả</w:t>
      </w:r>
    </w:p>
    <w:p>
      <w:pPr>
        <w:spacing w:line="360" w:lineRule="auto"/>
      </w:pPr>
      <w:r>
        <w:rPr>
          <w:rFonts w:ascii="Times New Roman" w:hAnsi="Times New Roman"/>
          <w:color w:val="000000"/>
          <w:sz w:val="26"/>
        </w:rPr>
        <w:t>Bản thảo Chương 2 và data dictionary được tạo từ src/data/03_preprocess_data.py. Bảng thống kê mô tả và tương quan được tạo bởi src/data/04_descriptive_stats.py. Sau khi thay đổi dữ liệu hoặc quy tắc xử lý, cần chạy lại pipeline tiền xử lý, chạy thống kê mô tả, rồi kiểm tra các bảng và số liệu trong Chương 3–4 để bảo đảm mọi chương dùng cùng phiên bản dataset.</w:t>
      </w:r>
    </w:p>
    <w:p>
      <w:pPr>
        <w:spacing w:line="360" w:lineRule="auto"/>
      </w:pPr>
      <w:r>
        <w:rPr>
          <w:rFonts w:ascii="Times New Roman" w:hAnsi="Times New Roman"/>
          <w:color w:val="000000"/>
          <w:sz w:val="26"/>
        </w:rPr>
        <w:t>Các bước tái lập từ thư mục gốc repository: python src/data/03_preprocess_data.py; sau đó python src/data/04_descriptive_stats.py. Bản thảo này mô tả định nghĩa và quy tắc dữ liệu; kết quả ước lượng, chẩn đoán mô hình và đánh giá dự báo được trình bày riêng trong paper/drafts/03_econometric_results.docx và paper/drafts/04_ml_results.docx.</w:t>
      </w:r>
    </w:p>
    <w:p>
      <w:pPr>
        <w:pStyle w:val="Heading1"/>
        <w:spacing w:line="360" w:lineRule="auto"/>
      </w:pPr>
      <w:r>
        <w:rPr>
          <w:rFonts w:ascii="Times New Roman" w:hAnsi="Times New Roman"/>
          <w:b/>
          <w:color w:val="000000"/>
          <w:sz w:val="26"/>
        </w:rPr>
        <w:t>2.9. Hạn chế dữ liệu</w:t>
      </w:r>
    </w:p>
    <w:p>
      <w:pPr>
        <w:spacing w:line="360" w:lineRule="auto"/>
      </w:pPr>
      <w:r>
        <w:rPr>
          <w:rFonts w:ascii="Times New Roman" w:hAnsi="Times New Roman"/>
          <w:color w:val="000000"/>
          <w:sz w:val="26"/>
        </w:rPr>
        <w:t>Thứ nhất, ngày quan sát không đồng nghĩa với thời điểm thông tin thực sự sẵn có cho nhà đầu tư; timestamp công bố/khả dụng của dữ liệu vĩ mô chưa được xác minh đầy đủ. Thứ hai, DX-Y.NYB là proxy theo mã tải xuống và cần được gọi đúng như vậy. Thứ ba, các biến thay đổi vĩ mô có thể bao phủ nhiều ngày do lịch nghỉ và lịch giao dịch; cần kiểm soát observation gap khi diễn giải. Thứ tư, US2Y phản ánh lợi suất thị trường chứ không phải chuỗi bất ngờ chính sách Fed được nhận diện độc lập. Cuối cùng, các liên hệ thống kê và kết quả dự báo không tự thân chứng minh cơ chế nhân quả; đánh giá ngoài mẫu ML hiện chỉ bao phủ năm 2025.</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36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60" w:lineRule="auto"/>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60" w:lineRule="auto" w:before="0"/>
    </w:pPr>
    <w:rPr>
      <w:rFonts w:ascii="Times New Roman" w:hAnsi="Times New Roman"/>
      <w:color w:val="000000"/>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