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Relecture</w:t>
      </w:r>
      <w:r>
        <w:t xml:space="preserve"> </w:t>
      </w:r>
      <w:r>
        <w:t xml:space="preserve">du</w:t>
      </w:r>
      <w:r>
        <w:t xml:space="preserve"> </w:t>
      </w:r>
      <w:r>
        <w:t xml:space="preserve">docs</w:t>
      </w:r>
      <w:r>
        <w:t xml:space="preserve"> </w:t>
      </w:r>
      <w:r>
        <w:t xml:space="preserve">—</w:t>
      </w:r>
      <w:r>
        <w:t xml:space="preserve"> </w:t>
      </w:r>
      <w:r>
        <w:t xml:space="preserve">Sujet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IA</w:t>
      </w:r>
      <w:r>
        <w:t xml:space="preserve"> </w:t>
      </w:r>
      <w:r>
        <w:t xml:space="preserve">générative</w:t>
      </w:r>
      <w:r>
        <w:t xml:space="preserve"> </w:t>
      </w:r>
      <w:r>
        <w:t xml:space="preserve">:</w:t>
      </w:r>
      <w:r>
        <w:t xml:space="preserve"> </w:t>
      </w:r>
      <w:r>
        <w:t xml:space="preserve">la</w:t>
      </w:r>
      <w:r>
        <w:t xml:space="preserve"> </w:t>
      </w:r>
      <w:r>
        <w:t xml:space="preserve">bataille</w:t>
      </w:r>
      <w:r>
        <w:t xml:space="preserve"> </w:t>
      </w:r>
      <w:r>
        <w:t xml:space="preserve">autour</w:t>
      </w:r>
      <w:r>
        <w:t xml:space="preserve"> </w:t>
      </w:r>
      <w:r>
        <w:t xml:space="preserve">des</w:t>
      </w:r>
      <w:r>
        <w:t xml:space="preserve"> </w:t>
      </w:r>
      <w:r>
        <w:t xml:space="preserve">règles</w:t>
      </w:r>
      <w:r>
        <w:t xml:space="preserve"> </w:t>
      </w:r>
      <w:r>
        <w:t xml:space="preserve">applicables</w:t>
      </w:r>
      <w:r>
        <w:t xml:space="preserve"> </w:t>
      </w:r>
      <w:r>
        <w:t xml:space="preserve">aux</w:t>
      </w:r>
      <w:r>
        <w:t xml:space="preserve"> </w:t>
      </w:r>
      <w:r>
        <w:t xml:space="preserve">grands</w:t>
      </w:r>
      <w:r>
        <w:t xml:space="preserve"> </w:t>
      </w:r>
      <w:r>
        <w:t xml:space="preserve">modèles</w:t>
      </w:r>
      <w:r>
        <w:t xml:space="preserve"> </w:t>
      </w:r>
      <w:r>
        <w:t xml:space="preserve">d’IA</w:t>
      </w:r>
    </w:p>
    <w:p>
      <w:pPr>
        <w:pStyle w:val="FirstParagraph"/>
      </w:pPr>
      <w:r>
        <w:t xml:space="preserve">Ce document relit les parties déjà rédigées (1, 2 et 4). Les parties 3 et 5 ne sont pas commentées puisqu’elles ne sont pas encore écrites. La relecture a été faite avec l’aide d’une IA, puis vérifiée. L’objectif est de repérer ce qu’il faut corriger avant la répétition.</w:t>
      </w:r>
    </w:p>
    <w:p>
      <w:pPr>
        <w:pStyle w:val="BodyText"/>
      </w:pPr>
      <w:r>
        <w:rPr>
          <w:bCs/>
          <w:b/>
        </w:rPr>
        <w:t xml:space="preserve">Légende :</w:t>
      </w:r>
      <w:r>
        <w:t xml:space="preserve"> </w:t>
      </w:r>
      <w:r>
        <w:t xml:space="preserve">🔴 à corriger en priorité · 🟠 important · 🟡 à améliorer</w:t>
      </w:r>
    </w:p>
    <w:bookmarkStart w:id="20" w:name="points-généraux-pour-tout-le-groupe"/>
    <w:p>
      <w:pPr>
        <w:pStyle w:val="Heading1"/>
      </w:pPr>
      <w:r>
        <w:t xml:space="preserve">1. Points généraux (pour tout le groupe)</w:t>
      </w:r>
    </w:p>
    <w:p>
      <w:pPr>
        <w:pStyle w:val="FirstParagraph"/>
      </w:pPr>
      <w:r>
        <w:rPr>
          <w:bCs/>
          <w:b/>
        </w:rPr>
        <w:t xml:space="preserve">🔴 1.1. Durée.</w:t>
      </w:r>
      <w:r>
        <w:t xml:space="preserve"> </w:t>
      </w:r>
      <w:r>
        <w:t xml:space="preserve">Le docs indique « 8 à 10 minutes », mais la consigne du prof est « 10 à 12 minutes » (et « 10 minutes par groupe » sur une autre slide). Il faut viser 10 à 11 minutes, soit environ 2 minutes par partie.</w:t>
      </w:r>
    </w:p>
    <w:p>
      <w:pPr>
        <w:pStyle w:val="BodyText"/>
      </w:pPr>
      <w:r>
        <w:rPr>
          <w:bCs/>
          <w:b/>
        </w:rPr>
        <w:t xml:space="preserve">🔴 1.2. Périmètre du sujet.</w:t>
      </w:r>
      <w:r>
        <w:t xml:space="preserve"> </w:t>
      </w:r>
      <w:r>
        <w:t xml:space="preserve">Notre sujet (n° 11) porte uniquement sur les règles applicables aux grands modèles d’IA, c’est-à-dire le</w:t>
      </w:r>
      <w:r>
        <w:t xml:space="preserve"> </w:t>
      </w:r>
      <w:r>
        <w:rPr>
          <w:bCs/>
          <w:b/>
        </w:rPr>
        <w:t xml:space="preserve">chapitre V de l’AI Act</w:t>
      </w:r>
      <w:r>
        <w:t xml:space="preserve"> </w:t>
      </w:r>
      <w:r>
        <w:t xml:space="preserve">(articles 51 à 56, « modèles d’IA à usage général »). Le sujet 10 traite de l’AI Act dans son ensemble. Il faut donc éviter la biométrie, la notation sociale ou l’IA « à haut risque » : sinon, on empiète sur le sujet 10 et on s’éloigne du nôtre.</w:t>
      </w:r>
    </w:p>
    <w:p>
      <w:pPr>
        <w:pStyle w:val="BodyText"/>
      </w:pPr>
      <w:r>
        <w:rPr>
          <w:bCs/>
          <w:b/>
        </w:rPr>
        <w:t xml:space="preserve">🔴 1.3. Une seule date pour l’accord politique : le 8 décembre 2023.</w:t>
      </w:r>
      <w:r>
        <w:t xml:space="preserve"> </w:t>
      </w:r>
      <w:r>
        <w:t xml:space="preserve">L’accord a été conclu le vendredi 8 décembre au soir ; les communiqués officiels sont datés du 9. Aujourd’hui, la partie 1 indique le 8 et la partie 4 le 9.</w:t>
      </w:r>
    </w:p>
    <w:p>
      <w:pPr>
        <w:pStyle w:val="BodyText"/>
      </w:pPr>
      <w:r>
        <w:rPr>
          <w:bCs/>
          <w:b/>
        </w:rPr>
        <w:t xml:space="preserve">🟠 1.4. Le même vocabulaire partout.</w:t>
      </w:r>
      <w:r>
        <w:t xml:space="preserve"> </w:t>
      </w:r>
      <w:r>
        <w:t xml:space="preserve">« Modèles d’IA à usage général (GPAI) », défini dans la partie 1, puis utilisé dans toutes les parties (au lieu de mélanger GPAI, grands modèles, modèles de fondation…).</w:t>
      </w:r>
    </w:p>
    <w:p>
      <w:pPr>
        <w:pStyle w:val="BodyText"/>
      </w:pPr>
      <w:r>
        <w:rPr>
          <w:bCs/>
          <w:b/>
        </w:rPr>
        <w:t xml:space="preserve">🟠 1.5. La même numérotation.</w:t>
      </w:r>
      <w:r>
        <w:t xml:space="preserve"> </w:t>
      </w:r>
      <w:r>
        <w:t xml:space="preserve">1.1, 1.2… / 2.1, 2.2… / 4.1, 4.2… Il faut désactiver la numérotation automatique de Google Docs : elle a transformé les sous-parties 1.1 à 1.5 en « 1. » à « 5. », d’où deux titres « 4. » dans le docs.</w:t>
      </w:r>
    </w:p>
    <w:p>
      <w:pPr>
        <w:pStyle w:val="BodyText"/>
      </w:pPr>
      <w:r>
        <w:rPr>
          <w:bCs/>
          <w:b/>
        </w:rPr>
        <w:t xml:space="preserve">🟠 1.6. Des transitions et un fil rouge.</w:t>
      </w:r>
      <w:r>
        <w:t xml:space="preserve"> </w:t>
      </w:r>
      <w:r>
        <w:t xml:space="preserve">Chaque partie doit se terminer par une phrase qui annonce la suivante. Toutes les parties doivent répondre à la même problématique, proposée dans la partie 1 et à valider ensemble :</w:t>
      </w:r>
      <w:r>
        <w:t xml:space="preserve"> </w:t>
      </w:r>
      <w:r>
        <w:rPr>
          <w:iCs/>
          <w:i/>
        </w:rPr>
        <w:t xml:space="preserve">« Qui a réussi à peser sur les règles applicables aux grands modèles d’IA dans l’AI Act, et par quels moyens ? »</w:t>
      </w:r>
    </w:p>
    <w:p>
      <w:pPr>
        <w:pStyle w:val="BodyText"/>
      </w:pPr>
      <w:r>
        <w:rPr>
          <w:bCs/>
          <w:b/>
        </w:rPr>
        <w:t xml:space="preserve">🟠 1.7. Les sources.</w:t>
      </w:r>
      <w:r>
        <w:t xml:space="preserve"> </w:t>
      </w:r>
      <w:r>
        <w:t xml:space="preserve">Il faut utiliser la même norme pour tout le monde : la norme</w:t>
      </w:r>
      <w:r>
        <w:t xml:space="preserve"> </w:t>
      </w:r>
      <w:r>
        <w:rPr>
          <w:bCs/>
          <w:b/>
        </w:rPr>
        <w:t xml:space="preserve">ISO 690</w:t>
      </w:r>
      <w:r>
        <w:t xml:space="preserve">, avec des références numérotées [1], [2]… Deux règles :</w:t>
      </w:r>
    </w:p>
    <w:p>
      <w:pPr>
        <w:numPr>
          <w:ilvl w:val="0"/>
          <w:numId w:val="1001"/>
        </w:numPr>
        <w:pStyle w:val="Compact"/>
      </w:pPr>
      <w:r>
        <w:t xml:space="preserve">chaque chiffre, date ou citation doit avoir une source ;</w:t>
      </w:r>
    </w:p>
    <w:p>
      <w:pPr>
        <w:numPr>
          <w:ilvl w:val="0"/>
          <w:numId w:val="1001"/>
        </w:numPr>
        <w:pStyle w:val="Compact"/>
      </w:pPr>
      <w:r>
        <w:t xml:space="preserve">chaque source de la liste doit être utilisée dans le texte.</w:t>
      </w:r>
    </w:p>
    <w:p>
      <w:pPr>
        <w:pStyle w:val="FirstParagraph"/>
      </w:pPr>
      <w:r>
        <w:t xml:space="preserve">Il vaut mieux privilégier les sources officielles (EUR-Lex, Parlement, Conseil, Commission) et la presse reconnue (Le Monde, Les Échos, Euractiv, Politico Europe, Reuters).</w:t>
      </w:r>
    </w:p>
    <w:p>
      <w:pPr>
        <w:pStyle w:val="BodyText"/>
      </w:pPr>
      <w:r>
        <w:rPr>
          <w:bCs/>
          <w:b/>
        </w:rPr>
        <w:t xml:space="preserve">🟡 1.8. Typographie française.</w:t>
      </w:r>
      <w:r>
        <w:t xml:space="preserve"> </w:t>
      </w:r>
      <w:r>
        <w:t xml:space="preserve">Guillemets « », espace avant « : ; ? ! », majuscules accentuées (États, À).</w:t>
      </w:r>
    </w:p>
    <w:bookmarkEnd w:id="20"/>
    <w:bookmarkStart w:id="21" w:name="Xdec92b373488560a13492c00d9859a16a8c162b"/>
    <w:p>
      <w:pPr>
        <w:pStyle w:val="Heading1"/>
      </w:pPr>
      <w:r>
        <w:t xml:space="preserve">2. Partie 1 — Contexte et décision publique (Nhi)</w:t>
      </w:r>
    </w:p>
    <w:p>
      <w:pPr>
        <w:pStyle w:val="FirstParagraph"/>
      </w:pPr>
      <w:r>
        <w:t xml:space="preserve">La partie répond aux trois questions du prof (problème public, décision, institutions et dates). Une version corrigée sera collée dans le docs, avec :</w:t>
      </w:r>
    </w:p>
    <w:p>
      <w:pPr>
        <w:numPr>
          <w:ilvl w:val="0"/>
          <w:numId w:val="1002"/>
        </w:numPr>
        <w:pStyle w:val="Compact"/>
      </w:pPr>
      <w:r>
        <w:t xml:space="preserve">la numérotation 1.1 à 1.5 rétablie ;</w:t>
      </w:r>
    </w:p>
    <w:p>
      <w:pPr>
        <w:numPr>
          <w:ilvl w:val="0"/>
          <w:numId w:val="1002"/>
        </w:numPr>
        <w:pStyle w:val="Compact"/>
      </w:pPr>
      <w:r>
        <w:t xml:space="preserve">la définition du sigle GPAI, réutilisé dans la partie 2 ;</w:t>
      </w:r>
    </w:p>
    <w:p>
      <w:pPr>
        <w:numPr>
          <w:ilvl w:val="0"/>
          <w:numId w:val="1002"/>
        </w:numPr>
        <w:pStyle w:val="Compact"/>
      </w:pPr>
      <w:r>
        <w:t xml:space="preserve">la date du 8 décembre 2023 ;</w:t>
      </w:r>
    </w:p>
    <w:p>
      <w:pPr>
        <w:numPr>
          <w:ilvl w:val="0"/>
          <w:numId w:val="1002"/>
        </w:numPr>
        <w:pStyle w:val="Compact"/>
      </w:pPr>
      <w:r>
        <w:t xml:space="preserve">une courte définition des « trilogues » ;</w:t>
      </w:r>
    </w:p>
    <w:p>
      <w:pPr>
        <w:numPr>
          <w:ilvl w:val="0"/>
          <w:numId w:val="1002"/>
        </w:numPr>
        <w:pStyle w:val="Compact"/>
      </w:pPr>
      <w:r>
        <w:t xml:space="preserve">des sources numérotées qui correspondent au texte.</w:t>
      </w:r>
    </w:p>
    <w:p>
      <w:pPr>
        <w:pStyle w:val="FirstParagraph"/>
      </w:pPr>
      <w:r>
        <w:t xml:space="preserve">Les sources qui ne sont plus utilisées dans le texte ont été retirées : code de bonnes pratiques, Future of Privacy Forum, Kingdon, Siècle Digital. Elles peuvent servir à la partie 5.</w:t>
      </w:r>
    </w:p>
    <w:p>
      <w:pPr>
        <w:pStyle w:val="BodyText"/>
      </w:pPr>
      <w:r>
        <w:t xml:space="preserve">La partie 1 contient déjà les</w:t>
      </w:r>
      <w:r>
        <w:t xml:space="preserve"> </w:t>
      </w:r>
      <w:r>
        <w:rPr>
          <w:bCs/>
          <w:b/>
        </w:rPr>
        <w:t xml:space="preserve">dates institutionnelles</w:t>
      </w:r>
      <w:r>
        <w:t xml:space="preserve"> </w:t>
      </w:r>
      <w:r>
        <w:t xml:space="preserve">(proposition, accord, votes, entrée en application). La partie 4 n’a donc pas besoin de les répéter.</w:t>
      </w:r>
    </w:p>
    <w:bookmarkEnd w:id="21"/>
    <w:bookmarkStart w:id="22" w:name="partie-2-enjeux-zhiying"/>
    <w:p>
      <w:pPr>
        <w:pStyle w:val="Heading1"/>
      </w:pPr>
      <w:r>
        <w:t xml:space="preserve">3. Partie 2 — Enjeux (Zhiying)</w:t>
      </w:r>
    </w:p>
    <w:p>
      <w:pPr>
        <w:pStyle w:val="FirstParagraph"/>
      </w:pPr>
      <w:r>
        <w:rPr>
          <w:bCs/>
          <w:b/>
        </w:rPr>
        <w:t xml:space="preserve">Points forts :</w:t>
      </w:r>
      <w:r>
        <w:t xml:space="preserve"> </w:t>
      </w:r>
      <w:r>
        <w:t xml:space="preserve">les quatre types d’enjeux sont bien présents, la question « qui a intérêt à quoi ? » est traitée, et l’accroche est efficace. Les idées sur l’environnement et le droit d’auteur sont très bonnes : on les retrouve dans le texte final (documentation de la consommation d’énergie, résumé des données d’entraînement).</w:t>
      </w:r>
    </w:p>
    <w:p>
      <w:pPr>
        <w:pStyle w:val="BodyText"/>
      </w:pPr>
      <w:r>
        <w:rPr>
          <w:bCs/>
          <w:b/>
        </w:rPr>
        <w:t xml:space="preserve">🔴 3.1. Une affirmation contredite par les faits.</w:t>
      </w:r>
      <w:r>
        <w:t xml:space="preserve"> </w:t>
      </w:r>
      <w:r>
        <w:t xml:space="preserve">« Les Big Tech ont intérêt à avoir une loi stricte » : une enquête du magazine</w:t>
      </w:r>
      <w:r>
        <w:t xml:space="preserve"> </w:t>
      </w:r>
      <w:r>
        <w:rPr>
          <w:iCs/>
          <w:i/>
        </w:rPr>
        <w:t xml:space="preserve">TIME</w:t>
      </w:r>
      <w:r>
        <w:t xml:space="preserve"> </w:t>
      </w:r>
      <w:r>
        <w:t xml:space="preserve">(20 juin 2023) montre au contraire qu’OpenAI a fait pression pour que ses modèles ne soient pas classés « à haut risque », alors même que Sam Altman réclamait publiquement une régulation.</w:t>
      </w:r>
    </w:p>
    <w:p>
      <w:pPr>
        <w:pStyle w:val="BlockText"/>
      </w:pPr>
      <w:r>
        <w:rPr>
          <w:bCs/>
          <w:b/>
        </w:rPr>
        <w:t xml:space="preserve">Proposition :</w:t>
      </w:r>
      <w:r>
        <w:t xml:space="preserve"> </w:t>
      </w:r>
      <w:r>
        <w:t xml:space="preserve">« En public, certains dirigeants comme Sam Altman réclament une régulation ; en coulisses, OpenAI a plaidé pour que ses modèles ne soient pas classés « à haut risque » (</w:t>
      </w:r>
      <w:r>
        <w:rPr>
          <w:iCs/>
          <w:i/>
        </w:rPr>
        <w:t xml:space="preserve">TIME</w:t>
      </w:r>
      <w:r>
        <w:t xml:space="preserve">, 20 juin 2023). Leur intérêt : réguler les usages plutôt que les modèles. »</w:t>
      </w:r>
    </w:p>
    <w:p>
      <w:pPr>
        <w:pStyle w:val="FirstParagraph"/>
      </w:pPr>
      <w:r>
        <w:t xml:space="preserve">L’argument de la « barrière à l’entrée » peut rester, mais présenté comme l’argument de Mistral AI et du gouvernement français, et non comme un fait.</w:t>
      </w:r>
    </w:p>
    <w:p>
      <w:pPr>
        <w:pStyle w:val="BodyText"/>
      </w:pPr>
      <w:r>
        <w:rPr>
          <w:bCs/>
          <w:b/>
        </w:rPr>
        <w:t xml:space="preserve">🔴 3.2. Une citation sans auteur.</w:t>
      </w:r>
      <w:r>
        <w:t xml:space="preserve"> </w:t>
      </w:r>
      <w:r>
        <w:t xml:space="preserve">La phrase « si on régule trop fort, on deviendra une colonie numérique des États-Unis… » est entre guillemets, mais personne n’est cité : elle peut passer pour une citation inventée.</w:t>
      </w:r>
    </w:p>
    <w:p>
      <w:pPr>
        <w:pStyle w:val="BlockText"/>
      </w:pPr>
      <w:r>
        <w:rPr>
          <w:bCs/>
          <w:b/>
        </w:rPr>
        <w:t xml:space="preserve">Proposition :</w:t>
      </w:r>
      <w:r>
        <w:t xml:space="preserve"> </w:t>
      </w:r>
      <w:r>
        <w:t xml:space="preserve">« Emmanuel Macron le résume ainsi le 11 décembre 2023 : « On régulera des choses qu’on ne produira plus ou qu’on n’inventera pas. » » (source :</w:t>
      </w:r>
      <w:r>
        <w:t xml:space="preserve"> </w:t>
      </w:r>
      <w:r>
        <w:rPr>
          <w:iCs/>
          <w:i/>
        </w:rPr>
        <w:t xml:space="preserve">Siècle Digital</w:t>
      </w:r>
      <w:r>
        <w:t xml:space="preserve">, 12 décembre 2023, d’après l’AFP)</w:t>
      </w:r>
    </w:p>
    <w:p>
      <w:pPr>
        <w:pStyle w:val="FirstParagraph"/>
      </w:pPr>
      <w:r>
        <w:rPr>
          <w:bCs/>
          <w:b/>
        </w:rPr>
        <w:t xml:space="preserve">🟠 3.3. Un chiffre sans source.</w:t>
      </w:r>
      <w:r>
        <w:t xml:space="preserve"> </w:t>
      </w:r>
      <w:r>
        <w:t xml:space="preserve">« Auditer un modèle GPAI coûte des millions » : il faut trouver une source ou reformuler.</w:t>
      </w:r>
    </w:p>
    <w:p>
      <w:pPr>
        <w:pStyle w:val="BlockText"/>
      </w:pPr>
      <w:r>
        <w:rPr>
          <w:bCs/>
          <w:b/>
        </w:rPr>
        <w:t xml:space="preserve">Proposition :</w:t>
      </w:r>
      <w:r>
        <w:t xml:space="preserve"> </w:t>
      </w:r>
      <w:r>
        <w:t xml:space="preserve">« La mise en conformité représente un coût important, plus facile à absorber pour les géants que pour les start-up. »</w:t>
      </w:r>
    </w:p>
    <w:p>
      <w:pPr>
        <w:pStyle w:val="FirstParagraph"/>
      </w:pPr>
      <w:r>
        <w:rPr>
          <w:bCs/>
          <w:b/>
        </w:rPr>
        <w:t xml:space="preserve">🟠 3.4. Des termes trop forts ou de faux guillemets.</w:t>
      </w:r>
    </w:p>
    <w:p>
      <w:pPr>
        <w:numPr>
          <w:ilvl w:val="0"/>
          <w:numId w:val="1003"/>
        </w:numPr>
        <w:pStyle w:val="Compact"/>
      </w:pPr>
      <w:r>
        <w:t xml:space="preserve">« Question de sécurité nationale » → « question de souveraineté ».</w:t>
      </w:r>
    </w:p>
    <w:p>
      <w:pPr>
        <w:numPr>
          <w:ilvl w:val="0"/>
          <w:numId w:val="1003"/>
        </w:numPr>
        <w:pStyle w:val="Compact"/>
      </w:pPr>
      <w:r>
        <w:t xml:space="preserve">« Patriote de l’innovation » est entre guillemets mais n’est pas une citation → « se présenter comme le champion européen de l’innovation ».</w:t>
      </w:r>
    </w:p>
    <w:p>
      <w:pPr>
        <w:pStyle w:val="FirstParagraph"/>
      </w:pPr>
      <w:r>
        <w:rPr>
          <w:bCs/>
          <w:b/>
        </w:rPr>
        <w:t xml:space="preserve">🟠 3.5. Des intérêts manquants.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Les entreprises en aval</w:t>
      </w:r>
      <w:r>
        <w:t xml:space="preserve"> </w:t>
      </w:r>
      <w:r>
        <w:t xml:space="preserve">(beaucoup de PME européennes qui utilisent ces modèles) : elles ont besoin d’informations de la part des fournisseurs, donc intérêt à des obligations de transparence.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Les acteurs de l’open source</w:t>
      </w:r>
      <w:r>
        <w:t xml:space="preserve"> </w:t>
      </w:r>
      <w:r>
        <w:t xml:space="preserve">(Meta, Mistral AI) : ils veulent une exemption pour les modèles ouverts.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Les auteurs et ayants droit</w:t>
      </w:r>
      <w:r>
        <w:t xml:space="preserve"> </w:t>
      </w:r>
      <w:r>
        <w:t xml:space="preserve">: ils veulent de la transparence sur les données d’entraînement.</w:t>
      </w:r>
    </w:p>
    <w:p>
      <w:pPr>
        <w:pStyle w:val="FirstParagraph"/>
      </w:pPr>
      <w:r>
        <w:t xml:space="preserve">Un petit tableau récapitulatif « Qui a intérêt à quoi ? » rendrait la partie très claire.</w:t>
      </w:r>
    </w:p>
    <w:p>
      <w:pPr>
        <w:pStyle w:val="BodyText"/>
      </w:pPr>
      <w:r>
        <w:rPr>
          <w:bCs/>
          <w:b/>
        </w:rPr>
        <w:t xml:space="preserve">🟠 3.6. La transition vers la partie 3.</w:t>
      </w:r>
      <w:r>
        <w:t xml:space="preserve"> </w:t>
      </w:r>
      <w:r>
        <w:t xml:space="preserve">La phrase actuelle, « comment ces acteurs se sont-ils affrontés concrètement ? », annonce plutôt la partie 4.</w:t>
      </w:r>
    </w:p>
    <w:p>
      <w:pPr>
        <w:pStyle w:val="BlockText"/>
      </w:pPr>
      <w:r>
        <w:rPr>
          <w:bCs/>
          <w:b/>
        </w:rPr>
        <w:t xml:space="preserve">Proposition :</w:t>
      </w:r>
      <w:r>
        <w:t xml:space="preserve"> </w:t>
      </w:r>
      <w:r>
        <w:t xml:space="preserve">« Mais qui sont précisément ces acteurs, et quelles positions défendent-ils ? »</w:t>
      </w:r>
    </w:p>
    <w:p>
      <w:pPr>
        <w:pStyle w:val="FirstParagraph"/>
      </w:pPr>
      <w:r>
        <w:rPr>
          <w:bCs/>
          <w:b/>
        </w:rPr>
        <w:t xml:space="preserve">🟠 3.7. Aucune source dans la partie 2.</w:t>
      </w:r>
      <w:r>
        <w:t xml:space="preserve"> </w:t>
      </w:r>
      <w:r>
        <w:t xml:space="preserve">Il faut ajouter au moins :</w:t>
      </w:r>
      <w:r>
        <w:t xml:space="preserve"> </w:t>
      </w:r>
      <w:r>
        <w:rPr>
          <w:iCs/>
          <w:i/>
        </w:rPr>
        <w:t xml:space="preserve">TIME</w:t>
      </w:r>
      <w:r>
        <w:t xml:space="preserve"> </w:t>
      </w:r>
      <w:r>
        <w:t xml:space="preserve">(2023),</w:t>
      </w:r>
      <w:r>
        <w:t xml:space="preserve"> </w:t>
      </w:r>
      <w:r>
        <w:rPr>
          <w:iCs/>
          <w:i/>
        </w:rPr>
        <w:t xml:space="preserve">Siècle Digital</w:t>
      </w:r>
      <w:r>
        <w:t xml:space="preserve"> </w:t>
      </w:r>
      <w:r>
        <w:t xml:space="preserve">(2023), et le règlement (UE) 2024/1689 (annexe XI pour l’énergie).</w:t>
      </w:r>
    </w:p>
    <w:p>
      <w:pPr>
        <w:pStyle w:val="BodyText"/>
      </w:pPr>
      <w:r>
        <w:rPr>
          <w:bCs/>
          <w:b/>
        </w:rPr>
        <w:t xml:space="preserve">🟡 3.8. Coquilles.</w:t>
      </w:r>
    </w:p>
    <w:p>
      <w:pPr>
        <w:numPr>
          <w:ilvl w:val="0"/>
          <w:numId w:val="1005"/>
        </w:numPr>
        <w:pStyle w:val="Compact"/>
      </w:pPr>
      <w:r>
        <w:t xml:space="preserve">Etats → États ; A l’inverse → À l’inverse.</w:t>
      </w:r>
    </w:p>
    <w:p>
      <w:pPr>
        <w:numPr>
          <w:ilvl w:val="0"/>
          <w:numId w:val="1005"/>
        </w:numPr>
        <w:pStyle w:val="Compact"/>
      </w:pPr>
      <w:r>
        <w:t xml:space="preserve">leur concurrents → leurs concurrents ; leur œuvres → leurs œuvres.</w:t>
      </w:r>
    </w:p>
    <w:p>
      <w:pPr>
        <w:numPr>
          <w:ilvl w:val="0"/>
          <w:numId w:val="1005"/>
        </w:numPr>
        <w:pStyle w:val="Compact"/>
      </w:pPr>
      <w:r>
        <w:t xml:space="preserve">collision d’intérêt économiques → collision d’intérêts économiques.</w:t>
      </w:r>
    </w:p>
    <w:p>
      <w:pPr>
        <w:numPr>
          <w:ilvl w:val="0"/>
          <w:numId w:val="1005"/>
        </w:numPr>
        <w:pStyle w:val="Compact"/>
      </w:pPr>
      <w:r>
        <w:t xml:space="preserve">“ ” → « » ; il manque un point après « champions nationaux ».</w:t>
      </w:r>
    </w:p>
    <w:p>
      <w:pPr>
        <w:pStyle w:val="FirstParagraph"/>
      </w:pPr>
      <w:r>
        <w:rPr>
          <w:bCs/>
          <w:b/>
        </w:rPr>
        <w:t xml:space="preserve">🟡 3.9. Chevauchement avec la partie 3.</w:t>
      </w:r>
      <w:r>
        <w:t xml:space="preserve"> </w:t>
      </w:r>
      <w:r>
        <w:t xml:space="preserve">La partie 2 cite déjà beaucoup d’acteurs. Elle peut se concentrer sur les</w:t>
      </w:r>
      <w:r>
        <w:t xml:space="preserve"> </w:t>
      </w:r>
      <w:r>
        <w:rPr>
          <w:bCs/>
          <w:b/>
        </w:rPr>
        <w:t xml:space="preserve">intérêts</w:t>
      </w:r>
      <w:r>
        <w:t xml:space="preserve">, et la partie 3 détaillera les</w:t>
      </w:r>
      <w:r>
        <w:t xml:space="preserve"> </w:t>
      </w:r>
      <w:r>
        <w:rPr>
          <w:bCs/>
          <w:b/>
        </w:rPr>
        <w:t xml:space="preserve">positions</w:t>
      </w:r>
      <w:r>
        <w:t xml:space="preserve">.</w:t>
      </w:r>
    </w:p>
    <w:bookmarkEnd w:id="22"/>
    <w:bookmarkStart w:id="23" w:name="Xdc67e2825f609e162f8889dda581537ef786086"/>
    <w:p>
      <w:pPr>
        <w:pStyle w:val="Heading1"/>
      </w:pPr>
      <w:r>
        <w:t xml:space="preserve">4. Partie 4 — Déroulé et actions de lobbying (Tania)</w:t>
      </w:r>
    </w:p>
    <w:p>
      <w:pPr>
        <w:pStyle w:val="FirstParagraph"/>
      </w:pPr>
      <w:r>
        <w:rPr>
          <w:bCs/>
          <w:b/>
        </w:rPr>
        <w:t xml:space="preserve">Points forts :</w:t>
      </w:r>
      <w:r>
        <w:t xml:space="preserve"> </w:t>
      </w:r>
      <w:r>
        <w:t xml:space="preserve">un gros travail de chronologie, une question d’ouverture pertinente, et la bonne piste avec l’Observatoire des multinationales.</w:t>
      </w:r>
    </w:p>
    <w:p>
      <w:pPr>
        <w:pStyle w:val="BodyText"/>
      </w:pPr>
      <w:r>
        <w:rPr>
          <w:bCs/>
          <w:b/>
        </w:rPr>
        <w:t xml:space="preserve">🔴 4.1. Deux paragraphes à supprimer.</w:t>
      </w:r>
      <w:r>
        <w:t xml:space="preserve"> </w:t>
      </w:r>
      <w:r>
        <w:t xml:space="preserve">Deux paragraphes semblent être la réponse d’un outil d’IA, copiée telle quelle :</w:t>
      </w:r>
    </w:p>
    <w:p>
      <w:pPr>
        <w:numPr>
          <w:ilvl w:val="0"/>
          <w:numId w:val="1006"/>
        </w:numPr>
        <w:pStyle w:val="Compact"/>
      </w:pPr>
      <w:r>
        <w:t xml:space="preserve">« Le document ne mentionne ni coalitions… » ;</w:t>
      </w:r>
    </w:p>
    <w:p>
      <w:pPr>
        <w:numPr>
          <w:ilvl w:val="0"/>
          <w:numId w:val="1006"/>
        </w:numPr>
        <w:pStyle w:val="Compact"/>
      </w:pPr>
      <w:r>
        <w:t xml:space="preserve">« Le document n’en contient presque pas… je ne peux pas en tirer de faits… sans inventer ».</w:t>
      </w:r>
    </w:p>
    <w:p>
      <w:pPr>
        <w:pStyle w:val="FirstParagraph"/>
      </w:pPr>
      <w:r>
        <w:t xml:space="preserve">Ils parlent d’un « document » qui n’existe pas dans notre travail. Il faut les supprimer avant que le prof ne voie le docs.</w:t>
      </w:r>
    </w:p>
    <w:p>
      <w:pPr>
        <w:pStyle w:val="BodyText"/>
      </w:pPr>
      <w:r>
        <w:t xml:space="preserve">De plus, l’affirmation « il n’y a aucun contenu derrière ce titre » est inexacte. L’article de l’Observatoire des multinationales est une véritable enquête, menée avec Corporate Europe Observatory et LobbyControl (mars 2024). C’est sans doute notre meilleure source de traces concrètes : il faut la lire directement.</w:t>
      </w:r>
    </w:p>
    <w:p>
      <w:pPr>
        <w:pStyle w:val="BodyText"/>
      </w:pPr>
      <w:r>
        <w:rPr>
          <w:bCs/>
          <w:b/>
        </w:rPr>
        <w:t xml:space="preserve">🔴 4.2. Une partie trop descriptive, en partie hors sujet.</w:t>
      </w:r>
      <w:r>
        <w:t xml:space="preserve"> </w:t>
      </w:r>
      <w:r>
        <w:t xml:space="preserve">La chronologie couvre tout l’AI Act (biométrie, normalisation, directive sur la responsabilité, IA à haut risque…). C’est ce que le prof demande d’éviter (« un simple exposé descriptif »), et cela relève du sujet 10. La consigne est : « identifier des traces concrètes d’actions d’influence ».</w:t>
      </w:r>
    </w:p>
    <w:p>
      <w:pPr>
        <w:pStyle w:val="BodyText"/>
      </w:pPr>
      <w:r>
        <w:rPr>
          <w:bCs/>
          <w:b/>
        </w:rPr>
        <w:t xml:space="preserve">Dates à retirer :</w:t>
      </w:r>
    </w:p>
    <w:p>
      <w:pPr>
        <w:numPr>
          <w:ilvl w:val="0"/>
          <w:numId w:val="1007"/>
        </w:numPr>
        <w:pStyle w:val="Compact"/>
      </w:pPr>
      <w:r>
        <w:t xml:space="preserve">20/07/2021, 06/08/2021 (deux fois), 29/11/2021 ;</w:t>
      </w:r>
    </w:p>
    <w:p>
      <w:pPr>
        <w:numPr>
          <w:ilvl w:val="0"/>
          <w:numId w:val="1007"/>
        </w:numPr>
        <w:pStyle w:val="Compact"/>
      </w:pPr>
      <w:r>
        <w:t xml:space="preserve">25/01/2022, 02/02/2022, 03/02/2022, 02/03/2022, 01/06/2022, 15/06/2022, 17/06/2022, 05/09/2022 ;</w:t>
      </w:r>
    </w:p>
    <w:p>
      <w:pPr>
        <w:numPr>
          <w:ilvl w:val="0"/>
          <w:numId w:val="1007"/>
        </w:numPr>
        <w:pStyle w:val="Compact"/>
      </w:pPr>
      <w:r>
        <w:t xml:space="preserve">28/09/2022 : la directive sur la responsabilité est un autre texte, que la Commission a annoncé retirer en 2025 ;</w:t>
      </w:r>
    </w:p>
    <w:p>
      <w:pPr>
        <w:numPr>
          <w:ilvl w:val="0"/>
          <w:numId w:val="1007"/>
        </w:numPr>
        <w:pStyle w:val="Compact"/>
      </w:pPr>
      <w:r>
        <w:t xml:space="preserve">toute la partie « Mise en œuvre », sauf les dates qui concernent les GPAI ;</w:t>
      </w:r>
    </w:p>
    <w:p>
      <w:pPr>
        <w:numPr>
          <w:ilvl w:val="0"/>
          <w:numId w:val="1007"/>
        </w:numPr>
        <w:pStyle w:val="Compact"/>
      </w:pPr>
      <w:r>
        <w:t xml:space="preserve">les dates institutionnelles déjà données dans la partie 1.</w:t>
      </w:r>
    </w:p>
    <w:p>
      <w:pPr>
        <w:pStyle w:val="FirstParagraph"/>
      </w:pPr>
      <w:r>
        <w:rPr>
          <w:bCs/>
          <w:b/>
        </w:rPr>
        <w:t xml:space="preserve">À ajouter : les traces concrètes d’influence.</w:t>
      </w:r>
      <w:r>
        <w:t xml:space="preserve"> </w:t>
      </w:r>
      <w:r>
        <w:t xml:space="preserve">Chaque fait est à vérifier dans sa source avant d’être écrit.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d’influence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Sept. 2022 → 20 juin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Livre blanc d’OpenAI envoyé à la Commission pour que ses modèles ne soient pas classés « à haut risque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 juin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Lettre ouverte de plus de 150 dirigeants européens (Airbus, Renault, Siemens…) contre le texte du Parlement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Reuters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10–19 nov.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Blocage de la France, de l’Allemagne et de l’Italie, puis</w:t>
            </w:r>
            <w:r>
              <w:t xml:space="preserve"> </w:t>
            </w:r>
            <w:r>
              <w:rPr>
                <w:iCs/>
                <w:i/>
              </w:rPr>
              <w:t xml:space="preserve">non-paper</w:t>
            </w:r>
            <w:r>
              <w:t xml:space="preserve"> </w:t>
            </w:r>
            <w:r>
              <w:t xml:space="preserve">pour une « autorégulation obligatoire » par codes de conduite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Euractiv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2023–2024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Cédric O, ancien secrétaire d’État au Numérique, cofondateur de Mistral AI et chargé de ses relations avec les institutions européennes (« portes tournantes 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Observatoire des multinationales / CEO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 déc.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Emmanuel Macron critique publiquement l’accord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Siècle Digital</w:t>
            </w:r>
            <w:r>
              <w:t xml:space="preserve"> </w:t>
            </w:r>
            <w:r>
              <w:t xml:space="preserve">/ AFP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févr.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France lève ses réserves : accord approuvé à l’unanimité au Coreper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Conseil de l’UE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 févr.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Microsoft investit 15 M€ dans Mistral AI, ce qui suscite des critiques d’eurodéputés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mars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Rapport CEO / LobbyControl / Observatoire publié la veille du vote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CEO</w:t>
            </w:r>
          </w:p>
        </w:tc>
      </w:tr>
    </w:tbl>
    <w:p>
      <w:pPr>
        <w:pStyle w:val="BodyText"/>
      </w:pPr>
      <w:r>
        <w:rPr>
          <w:bCs/>
          <w:b/>
        </w:rPr>
        <w:t xml:space="preserve">🔴 4.3. Erreurs de dates.</w:t>
      </w:r>
    </w:p>
    <w:p>
      <w:pPr>
        <w:numPr>
          <w:ilvl w:val="0"/>
          <w:numId w:val="1008"/>
        </w:numPr>
        <w:pStyle w:val="Compact"/>
      </w:pPr>
      <w:r>
        <w:t xml:space="preserve">« 9 décembre 2023 » →</w:t>
      </w:r>
      <w:r>
        <w:t xml:space="preserve"> </w:t>
      </w:r>
      <w:r>
        <w:rPr>
          <w:bCs/>
          <w:b/>
        </w:rPr>
        <w:t xml:space="preserve">8 décembre 2023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« 13 février 2024 : les 27 États membres confirment l’accord » → les États l’ont approuvé le</w:t>
      </w:r>
      <w:r>
        <w:t xml:space="preserve"> </w:t>
      </w:r>
      <w:r>
        <w:rPr>
          <w:bCs/>
          <w:b/>
        </w:rPr>
        <w:t xml:space="preserve">2 février 2024</w:t>
      </w:r>
      <w:r>
        <w:t xml:space="preserve"> </w:t>
      </w:r>
      <w:r>
        <w:t xml:space="preserve">(Coreper). Le 13 février, ce sont les commissions IMCO et LIBE du Parlement qui ont voté.</w:t>
      </w:r>
    </w:p>
    <w:p>
      <w:pPr>
        <w:numPr>
          <w:ilvl w:val="0"/>
          <w:numId w:val="1008"/>
        </w:numPr>
        <w:pStyle w:val="Compact"/>
      </w:pPr>
      <w:r>
        <w:t xml:space="preserve">Le vote final du Parlement (</w:t>
      </w:r>
      <w:r>
        <w:rPr>
          <w:bCs/>
          <w:b/>
        </w:rPr>
        <w:t xml:space="preserve">13 mars 2024</w:t>
      </w:r>
      <w:r>
        <w:t xml:space="preserve">) manque.</w:t>
      </w:r>
    </w:p>
    <w:p>
      <w:pPr>
        <w:numPr>
          <w:ilvl w:val="0"/>
          <w:numId w:val="1008"/>
        </w:numPr>
        <w:pStyle w:val="Compact"/>
      </w:pPr>
      <w:r>
        <w:t xml:space="preserve">Le 3 février 2022 est placé avant le 2 février 2022.</w:t>
      </w:r>
    </w:p>
    <w:p>
      <w:pPr>
        <w:numPr>
          <w:ilvl w:val="0"/>
          <w:numId w:val="1008"/>
        </w:numPr>
        <w:pStyle w:val="Compact"/>
      </w:pPr>
      <w:r>
        <w:t xml:space="preserve">« 17 juin 2022 : la présidence tchèque… » : la présidence tchèque ne commence que le 1er juillet 2022. À vérifier.</w:t>
      </w:r>
    </w:p>
    <w:p>
      <w:pPr>
        <w:pStyle w:val="FirstParagraph"/>
      </w:pPr>
      <w:r>
        <w:rPr>
          <w:bCs/>
          <w:b/>
        </w:rPr>
        <w:t xml:space="preserve">🟠 4.4. Structure proposée.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4.1. Chronologie de la bataille</w:t>
      </w:r>
      <w:r>
        <w:t xml:space="preserve"> </w:t>
      </w:r>
      <w:r>
        <w:t xml:space="preserve">(5 à 6 dates clés).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4.2. Méthodes d’influence</w:t>
      </w:r>
      <w:r>
        <w:t xml:space="preserve"> </w:t>
      </w:r>
      <w:r>
        <w:t xml:space="preserve">: lobbying direct, passage par les gouvernements nationaux, coalitions, lettres ouvertes, médias, portes tournantes.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4.3. Traces concrètes</w:t>
      </w:r>
      <w:r>
        <w:t xml:space="preserve">, avec sources.</w:t>
      </w:r>
    </w:p>
    <w:p>
      <w:pPr>
        <w:pStyle w:val="FirstParagraph"/>
      </w:pPr>
      <w:r>
        <w:rPr>
          <w:bCs/>
          <w:b/>
        </w:rPr>
        <w:t xml:space="preserve">🟠 4.5. Les sources.</w:t>
      </w:r>
      <w:r>
        <w:t xml:space="preserve"> </w:t>
      </w:r>
      <w:r>
        <w:t xml:space="preserve">Le lien « Loi sur l’intelligence artificielle de l’UE » (artificialintelligenceact.eu) n’est</w:t>
      </w:r>
      <w:r>
        <w:t xml:space="preserve"> </w:t>
      </w:r>
      <w:r>
        <w:rPr>
          <w:bCs/>
          <w:b/>
        </w:rPr>
        <w:t xml:space="preserve">pas un site officiel de l’UE</w:t>
      </w:r>
      <w:r>
        <w:t xml:space="preserve">. Il est géré par le Future of Life Institute, une ONG qui milite pour une régulation stricte de l’IA, et qui est donc elle-même un acteur de la bataille. On peut l’utiliser, mais en le présentant comme tel.</w:t>
      </w:r>
    </w:p>
    <w:p>
      <w:pPr>
        <w:pStyle w:val="BodyText"/>
      </w:pPr>
      <w:r>
        <w:t xml:space="preserve">L’Observatoire des multinationales est une ONG d’enquête critique envers le lobbying. C’est une source précieuse, mais il faut la citer avec « selon… » et la croiser avec d’autres sources (presse, réponses de Mistral AI).</w:t>
      </w:r>
    </w:p>
    <w:p>
      <w:pPr>
        <w:pStyle w:val="BodyText"/>
      </w:pPr>
      <w:r>
        <w:rPr>
          <w:bCs/>
          <w:b/>
        </w:rPr>
        <w:t xml:space="preserve">🟠 4.6. La longueur.</w:t>
      </w:r>
      <w:r>
        <w:t xml:space="preserve"> </w:t>
      </w:r>
      <w:r>
        <w:t xml:space="preserve">La partie dispose d’environ 2 minutes à l’oral : la chronologie actuelle est beaucoup trop longue.</w:t>
      </w:r>
    </w:p>
    <w:p>
      <w:pPr>
        <w:pStyle w:val="BodyText"/>
      </w:pPr>
      <w:r>
        <w:rPr>
          <w:bCs/>
          <w:b/>
        </w:rPr>
        <w:t xml:space="preserve">🟡 4.7. Détails.</w:t>
      </w:r>
    </w:p>
    <w:p>
      <w:pPr>
        <w:numPr>
          <w:ilvl w:val="0"/>
          <w:numId w:val="1010"/>
        </w:numPr>
        <w:pStyle w:val="Compact"/>
      </w:pPr>
      <w:r>
        <w:t xml:space="preserve">« Deroule » → « Déroulé ».</w:t>
      </w:r>
    </w:p>
    <w:p>
      <w:pPr>
        <w:numPr>
          <w:ilvl w:val="0"/>
          <w:numId w:val="1010"/>
        </w:numPr>
        <w:pStyle w:val="Compact"/>
      </w:pPr>
      <w:r>
        <w:t xml:space="preserve">La question d’ouverture répète celle de la partie 1 : écrire « Comme on l’a vu en partie 1… », ou la supprimer.</w:t>
      </w:r>
    </w:p>
    <w:bookmarkEnd w:id="23"/>
    <w:bookmarkStart w:id="24" w:name="prochaines-étapes-réunion-de-demain"/>
    <w:p>
      <w:pPr>
        <w:pStyle w:val="Heading1"/>
      </w:pPr>
      <w:r>
        <w:t xml:space="preserve">5. Prochaines étapes (réunion de demain)</w:t>
      </w:r>
    </w:p>
    <w:p>
      <w:pPr>
        <w:numPr>
          <w:ilvl w:val="0"/>
          <w:numId w:val="1011"/>
        </w:numPr>
        <w:pStyle w:val="Compact"/>
      </w:pPr>
      <w:r>
        <w:t xml:space="preserve">Supprimer les deux paragraphes de la partie 4 qui viennent d’une IA.</w:t>
      </w:r>
    </w:p>
    <w:p>
      <w:pPr>
        <w:numPr>
          <w:ilvl w:val="0"/>
          <w:numId w:val="1011"/>
        </w:numPr>
        <w:pStyle w:val="Compact"/>
      </w:pPr>
      <w:r>
        <w:t xml:space="preserve">Valider ensemble la problématique commune et le périmètre (chapitre V de l’AI Act).</w:t>
      </w:r>
    </w:p>
    <w:p>
      <w:pPr>
        <w:numPr>
          <w:ilvl w:val="0"/>
          <w:numId w:val="1011"/>
        </w:numPr>
        <w:pStyle w:val="Compact"/>
      </w:pPr>
      <w:r>
        <w:t xml:space="preserve">Harmoniser : date du 8 décembre 2023, durée de 10 à 12 minutes, vocabulaire « GPAI », numérotation, norme des sources.</w:t>
      </w:r>
    </w:p>
    <w:p>
      <w:pPr>
        <w:numPr>
          <w:ilvl w:val="0"/>
          <w:numId w:val="1011"/>
        </w:numPr>
        <w:pStyle w:val="Compact"/>
      </w:pPr>
      <w:r>
        <w:t xml:space="preserve">Répartir les dates : dates institutionnelles en partie 1, dates de la bataille en partie 4.</w:t>
      </w:r>
    </w:p>
    <w:p>
      <w:pPr>
        <w:numPr>
          <w:ilvl w:val="0"/>
          <w:numId w:val="1011"/>
        </w:numPr>
        <w:pStyle w:val="Compact"/>
      </w:pPr>
      <w:r>
        <w:t xml:space="preserve">Ajouter les sources des parties 2 et 4.</w:t>
      </w:r>
    </w:p>
    <w:p>
      <w:pPr>
        <w:numPr>
          <w:ilvl w:val="0"/>
          <w:numId w:val="1011"/>
        </w:numPr>
        <w:pStyle w:val="Compact"/>
      </w:pPr>
      <w:r>
        <w:t xml:space="preserve">Écrire les transitions entre les parties.</w:t>
      </w:r>
    </w:p>
    <w:p>
      <w:pPr>
        <w:numPr>
          <w:ilvl w:val="0"/>
          <w:numId w:val="1011"/>
        </w:numPr>
        <w:pStyle w:val="Compact"/>
      </w:pPr>
      <w:r>
        <w:t xml:space="preserve">Décider qui présente la partie 5 : le prof demande que chaque étudiant présente une partie précise.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Relecture du docs — Sujet 11</dc:title>
  <dc:creator/>
  <cp:keywords/>
  <dcterms:created xsi:type="dcterms:W3CDTF">2026-10-12T17:52:34Z</dcterms:created>
  <dcterms:modified xsi:type="dcterms:W3CDTF">2026-10-12T17:52:34Z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IA générative : la bataille autour des règles applicables aux grands modèles d’IA</vt:lpwstr>
  </property>
</Properties>
</file>