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Partie</w:t>
      </w:r>
      <w:r>
        <w:t xml:space="preserve"> </w:t>
      </w:r>
      <w: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Résultat</w:t>
      </w:r>
      <w:r>
        <w:t xml:space="preserve"> </w:t>
      </w:r>
      <w:r>
        <w:t xml:space="preserve">et</w:t>
      </w:r>
      <w:r>
        <w:t xml:space="preserve"> </w:t>
      </w:r>
      <w:r>
        <w:t xml:space="preserve">enseignements</w:t>
      </w:r>
    </w:p>
    <w:p>
      <w:pPr>
        <w:pStyle w:val="Subtitle"/>
      </w:pPr>
      <w:r>
        <w:t xml:space="preserve">Comment</w:t>
      </w:r>
      <w:r>
        <w:t xml:space="preserve"> </w:t>
      </w:r>
      <w:r>
        <w:t xml:space="preserve">construire</w:t>
      </w:r>
      <w:r>
        <w:t xml:space="preserve"> </w:t>
      </w:r>
      <w:r>
        <w:t xml:space="preserve">la</w:t>
      </w:r>
      <w:r>
        <w:t xml:space="preserve"> </w:t>
      </w:r>
      <w:r>
        <w:t xml:space="preserve">dernière</w:t>
      </w:r>
      <w:r>
        <w:t xml:space="preserve"> </w:t>
      </w:r>
      <w:r>
        <w:t xml:space="preserve">partie</w:t>
      </w:r>
      <w:r>
        <w:t xml:space="preserve"> </w:t>
      </w:r>
      <w:r>
        <w:t xml:space="preserve">(docs,</w:t>
      </w:r>
      <w:r>
        <w:t xml:space="preserve"> </w:t>
      </w:r>
      <w:r>
        <w:t xml:space="preserve">slide</w:t>
      </w:r>
      <w:r>
        <w:t xml:space="preserve"> </w:t>
      </w:r>
      <w:r>
        <w:t xml:space="preserve">et</w:t>
      </w:r>
      <w:r>
        <w:t xml:space="preserve"> </w:t>
      </w:r>
      <w:r>
        <w:t xml:space="preserve">oral)</w:t>
      </w:r>
    </w:p>
    <w:bookmarkStart w:id="20" w:name="ce-que-demande-le-prof"/>
    <w:p>
      <w:pPr>
        <w:pStyle w:val="Heading1"/>
      </w:pPr>
      <w:r>
        <w:t xml:space="preserve">0. Ce que demande le prof</w:t>
      </w:r>
    </w:p>
    <w:p>
      <w:pPr>
        <w:pStyle w:val="FirstParagraph"/>
      </w:pPr>
      <w:r>
        <w:t xml:space="preserve">La consigne pose trois questions pour la slide 5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Quelle décision finale 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 a obtenu quoi ? Quels compromis 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 nous apprend ce cas sur les méthodes et l’efficacité du lobbying ?</w:t>
      </w:r>
    </w:p>
    <w:p>
      <w:pPr>
        <w:pStyle w:val="FirstParagraph"/>
      </w:pPr>
      <w:r>
        <w:t xml:space="preserve">Cette partie doit aussi</w:t>
      </w:r>
      <w:r>
        <w:t xml:space="preserve"> </w:t>
      </w:r>
      <w:r>
        <w:rPr>
          <w:bCs/>
          <w:b/>
        </w:rPr>
        <w:t xml:space="preserve">répondre à la problématique</w:t>
      </w:r>
      <w:r>
        <w:t xml:space="preserve"> </w:t>
      </w:r>
      <w:r>
        <w:t xml:space="preserve">posée en partie 1 :</w:t>
      </w:r>
      <w:r>
        <w:t xml:space="preserve"> </w:t>
      </w:r>
      <w:r>
        <w:rPr>
          <w:iCs/>
          <w:i/>
        </w:rPr>
        <w:t xml:space="preserve">« Qui a réussi à peser sur les règles applicables aux grands modèles d’IA dans l’AI Act, et par quels moyens ? »</w:t>
      </w:r>
    </w:p>
    <w:p>
      <w:pPr>
        <w:pStyle w:val="BodyText"/>
      </w:pPr>
      <w:r>
        <w:rPr>
          <w:bCs/>
          <w:b/>
        </w:rPr>
        <w:t xml:space="preserve">Durée :</w:t>
      </w:r>
      <w:r>
        <w:t xml:space="preserve"> </w:t>
      </w:r>
      <w:r>
        <w:t xml:space="preserve">environ 2 minutes à 2 minutes 30. Le prof demande que « chaque étudiant présente une partie précise » : il faut donc désigner qui présente la partie 5 (voir section 5).</w:t>
      </w:r>
    </w:p>
    <w:bookmarkEnd w:id="20"/>
    <w:bookmarkStart w:id="21" w:name="X854b750bd9b075e33fcf13ca037ed7819285941"/>
    <w:p>
      <w:pPr>
        <w:pStyle w:val="Heading1"/>
      </w:pPr>
      <w:r>
        <w:t xml:space="preserve">1. Structure proposée (identique dans le docs, sur la slide et à l’oral)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5.1. La décision finale</w:t>
      </w:r>
      <w:r>
        <w:t xml:space="preserve"> </w:t>
      </w:r>
      <w:r>
        <w:t xml:space="preserve">: ce que dit le chapitre V.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5.2. Qui a obtenu quoi ?</w:t>
      </w:r>
      <w:r>
        <w:t xml:space="preserve"> </w:t>
      </w:r>
      <w:r>
        <w:t xml:space="preserve">Ce que chaque camp voulait, a obtenu et n’a pas obtenu.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5.3. Les enseignements</w:t>
      </w:r>
      <w:r>
        <w:t xml:space="preserve"> </w:t>
      </w:r>
      <w:r>
        <w:t xml:space="preserve">sur les méthodes et l’efficacité du lobbying.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5.4. La réponse à la problématique</w:t>
      </w:r>
      <w:r>
        <w:t xml:space="preserve">, qui sert de conclusion.</w:t>
      </w:r>
    </w:p>
    <w:bookmarkEnd w:id="21"/>
    <w:bookmarkStart w:id="26" w:name="contenu-détaillé"/>
    <w:p>
      <w:pPr>
        <w:pStyle w:val="Heading1"/>
      </w:pPr>
      <w:r>
        <w:t xml:space="preserve">2. Contenu détaillé</w:t>
      </w:r>
    </w:p>
    <w:p>
      <w:pPr>
        <w:pStyle w:val="FirstParagraph"/>
      </w:pPr>
      <w:r>
        <w:t xml:space="preserve">Chaque fait est à vérifier dans la source indiquée avant d’être écrit.</w:t>
      </w:r>
    </w:p>
    <w:bookmarkStart w:id="22" w:name="X91704c3a472dae61a7ed4d87c3c03efd860cb9e"/>
    <w:p>
      <w:pPr>
        <w:pStyle w:val="Heading2"/>
      </w:pPr>
      <w:r>
        <w:t xml:space="preserve">5.1. La décision finale : une approche à deux niveaux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8"/>
        <w:gridCol w:w="1738"/>
        <w:gridCol w:w="3283"/>
        <w:gridCol w:w="11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 est concerné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 les modèles d’IA à usage général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technique (dont la consommation d’énergie), informations aux entreprises qui intègrent le modèle, politique de respect du droit d’auteur, résumé public des données d’entraînement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 ; annexes XI et XII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 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Modèles publiés sous licence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Dispensés de la documentation technique et des informations aux entreprises en aval (mais pas du droit d’auteur ni du résumé des données), sauf s’ils présentent un risque systémique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53, §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Modèles « à risque systémique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Modèles entraînés avec plus de 10²⁵ FLOP, ou désignés par la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Évaluation et tests adverses, gestion des risques, signalement des incidents graves, cybersécurité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51 et 55 ; annexe XIII</w:t>
            </w:r>
          </w:p>
        </w:tc>
      </w:tr>
    </w:tbl>
    <w:p>
      <w:pPr>
        <w:pStyle w:val="BodyText"/>
      </w:pPr>
      <w:r>
        <w:t xml:space="preserve">Deux éléments complètent le dispositif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 code de bonnes pratiques</w:t>
      </w:r>
      <w:r>
        <w:t xml:space="preserve"> </w:t>
      </w:r>
      <w:r>
        <w:t xml:space="preserve">(art. 56), publié le 10 juillet 2025, qui permet aux fournisseurs de montrer qu’ils respectent les règles 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 amendes</w:t>
      </w:r>
      <w:r>
        <w:t xml:space="preserve"> </w:t>
      </w:r>
      <w:r>
        <w:t xml:space="preserve">pouvant atteindre 3 % du chiffre d’affaires mondial ou 15 M€ (art. 101), applicables depuis le 2 août 2026.</w:t>
      </w:r>
    </w:p>
    <w:bookmarkEnd w:id="22"/>
    <w:bookmarkStart w:id="23" w:name="qui-a-obtenu-quoi-quels-compromis"/>
    <w:p>
      <w:pPr>
        <w:pStyle w:val="Heading2"/>
      </w:pPr>
      <w:r>
        <w:t xml:space="preserve">5.2. Qui a obtenu quoi ? Quels compromis 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1951"/>
        <w:gridCol w:w="1951"/>
        <w:gridCol w:w="19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qu’il voulait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qu’il a obtenu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qu’il n’a pas obtenu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Parlement européen, 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règles contraignantes pour tous les modèles de fondation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cadre contraignant, avec sanctions, pour tous les GPAI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obligations lourdes ne visent que les modèles les plus puissants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France, Allemagne, Italie ; Mistral AI, Aleph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autorégulation par codes de conduite, sans sanctions au départ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obligations légères pour la plupart des modèles, l’exemption partielle de l’open source, un code de bonnes pratiques comme outil de 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d’autorégulation pure : la loi s’applique, avec des amendes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Tech américaines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Réguler les usages, ne pas être classées « à haut risque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GPAI ne sont pas classés « à haut risque » par défaut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Leurs modèles les plus puissants relèvent du « risque systémique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Ayants droit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Transparence et rémunération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politique de droit d’auteur et un résumé des données d’entraînement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mécanisme de rémunération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Acteurs environnementaux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Transparence énergétique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documentation de la consommation d’énergie (annexe XI)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plafond ni aucune obligation de réduction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Le compromis.</w:t>
      </w:r>
      <w:r>
        <w:t xml:space="preserve"> </w:t>
      </w:r>
      <w:r>
        <w:t xml:space="preserve">L’approche à deux niveaux se situe entre la position du Parlement (règles pour tous les modèles de fondation) et celle de la France, de l’Allemagne et de l’Italie (autorégulation).</w:t>
      </w:r>
    </w:p>
    <w:p>
      <w:pPr>
        <w:pStyle w:val="BodyText"/>
      </w:pPr>
      <w:r>
        <w:rPr>
          <w:bCs/>
          <w:b/>
        </w:rPr>
        <w:t xml:space="preserve">Une réaction révélatrice.</w:t>
      </w:r>
      <w:r>
        <w:t xml:space="preserve"> </w:t>
      </w:r>
      <w:r>
        <w:t xml:space="preserve">Selon l’enquête de Corporate Europe Observatory, LobbyControl et l’Observatoire des multinationales (mars 2024), Arthur Mensch (Mistral AI) a jugé le texte final «</w:t>
      </w:r>
      <w:r>
        <w:t xml:space="preserve"> </w:t>
      </w:r>
      <w:r>
        <w:rPr>
          <w:iCs/>
          <w:i/>
        </w:rPr>
        <w:t xml:space="preserve">perfectly manageable</w:t>
      </w:r>
      <w:r>
        <w:t xml:space="preserve"> </w:t>
      </w:r>
      <w:r>
        <w:t xml:space="preserve">» (parfaitement gérable) pour son entreprise.</w:t>
      </w:r>
    </w:p>
    <w:bookmarkEnd w:id="23"/>
    <w:bookmarkStart w:id="24" w:name="les-enseignements-sur-le-lobbying"/>
    <w:p>
      <w:pPr>
        <w:pStyle w:val="Heading2"/>
      </w:pPr>
      <w:r>
        <w:t xml:space="preserve">5.3. Les enseignements sur le lobbying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 méthode la plus efficace a été de passer par les gouvernements nationaux</w:t>
      </w:r>
      <w:r>
        <w:t xml:space="preserve">, c’est-à-dire par le Conseil.</w:t>
      </w:r>
    </w:p>
    <w:p>
      <w:pPr>
        <w:numPr>
          <w:ilvl w:val="1"/>
          <w:numId w:val="1005"/>
        </w:numPr>
        <w:pStyle w:val="Compact"/>
      </w:pPr>
      <w:r>
        <w:t xml:space="preserve">Aleph Alpha a eu 12 rendez-vous avec le gouvernement allemand entre juin et novembre 2023.</w:t>
      </w:r>
    </w:p>
    <w:p>
      <w:pPr>
        <w:numPr>
          <w:ilvl w:val="1"/>
          <w:numId w:val="1005"/>
        </w:numPr>
        <w:pStyle w:val="Compact"/>
      </w:pPr>
      <w:r>
        <w:t xml:space="preserve">Cédric O, ancien secrétaire d’État au Numérique, est cofondateur de Mistral AI.</w:t>
      </w:r>
    </w:p>
    <w:p>
      <w:pPr>
        <w:numPr>
          <w:ilvl w:val="1"/>
          <w:numId w:val="1005"/>
        </w:numPr>
        <w:pStyle w:val="Compact"/>
      </w:pPr>
      <w:r>
        <w:t xml:space="preserve">Le</w:t>
      </w:r>
      <w:r>
        <w:t xml:space="preserve"> </w:t>
      </w:r>
      <w:r>
        <w:rPr>
          <w:iCs/>
          <w:i/>
        </w:rPr>
        <w:t xml:space="preserve">non-paper</w:t>
      </w:r>
      <w:r>
        <w:t xml:space="preserve"> </w:t>
      </w:r>
      <w:r>
        <w:t xml:space="preserve">du 18 novembre 2023 a bloqué la négociation.</w:t>
      </w:r>
    </w:p>
    <w:p>
      <w:pPr>
        <w:numPr>
          <w:ilvl w:val="1"/>
          <w:numId w:val="1005"/>
        </w:numPr>
        <w:pStyle w:val="Compact"/>
      </w:pPr>
      <w:r>
        <w:t xml:space="preserve">Résultat : des règles allégées pour la plupart des modèles.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 cadrage compte.</w:t>
      </w:r>
      <w:r>
        <w:t xml:space="preserve"> </w:t>
      </w:r>
      <w:r>
        <w:t xml:space="preserve">Un intérêt d’entreprise présenté comme une question de</w:t>
      </w:r>
      <w:r>
        <w:t xml:space="preserve"> </w:t>
      </w:r>
      <w:r>
        <w:rPr>
          <w:bCs/>
          <w:b/>
        </w:rPr>
        <w:t xml:space="preserve">souveraineté européenne</w:t>
      </w:r>
      <w:r>
        <w:t xml:space="preserve"> </w:t>
      </w:r>
      <w:r>
        <w:t xml:space="preserve">(« champions européens ») devient plus audible. Emmanuel Macron l’a résumé le 11 décembre 2023 : « On régulera des choses qu’on ne produira plus ou qu’on n’inventera pas. »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 moment est décisif.</w:t>
      </w:r>
      <w:r>
        <w:t xml:space="preserve"> </w:t>
      </w:r>
      <w:r>
        <w:t xml:space="preserve">La pression a été maximale à la fin des trilogues (novembre et décembre 2023), quand toutes les parties voulaient un accord.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L’efficacité a ses limites.</w:t>
      </w:r>
    </w:p>
    <w:p>
      <w:pPr>
        <w:numPr>
          <w:ilvl w:val="1"/>
          <w:numId w:val="1006"/>
        </w:numPr>
        <w:pStyle w:val="Compact"/>
      </w:pPr>
      <w:r>
        <w:t xml:space="preserve">L’autorégulation pure a été refusée.</w:t>
      </w:r>
    </w:p>
    <w:p>
      <w:pPr>
        <w:numPr>
          <w:ilvl w:val="1"/>
          <w:numId w:val="1006"/>
        </w:numPr>
        <w:pStyle w:val="Compact"/>
      </w:pPr>
      <w:r>
        <w:t xml:space="preserve">L’accord entre Microsoft et Mistral AI (février 2024, 15 M€) a affaibli l’argument des « champions européens ».</w:t>
      </w:r>
    </w:p>
    <w:p>
      <w:pPr>
        <w:numPr>
          <w:ilvl w:val="1"/>
          <w:numId w:val="1006"/>
        </w:numPr>
        <w:pStyle w:val="Compact"/>
      </w:pPr>
      <w:r>
        <w:t xml:space="preserve">La bataille a continué après le vote : en juillet 2025, des dirigeants (dont celui de Mistral AI) demandent une pause de deux ans (« Stop the clock »), et la Commission refuse le 4 juillet 2025. Meta refuse de signer le code de bonnes pratiques.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Le lobbying a adouci la règle, il ne l’a pas supprimée.</w:t>
      </w:r>
    </w:p>
    <w:p>
      <w:pPr>
        <w:pStyle w:val="FirstParagraph"/>
      </w:pPr>
      <w:r>
        <w:rPr>
          <w:bCs/>
          <w:b/>
        </w:rPr>
        <w:t xml:space="preserve">Nuance à garder.</w:t>
      </w:r>
      <w:r>
        <w:t xml:space="preserve"> </w:t>
      </w:r>
      <w:r>
        <w:t xml:space="preserve">Une convergence entre les arguments des entreprises et ceux des gouvernements ne prouve pas, à elle seule, que les entreprises ont dicté leur position aux États. Il faut écrire « selon l’enquête de… » quand on attribue une influence.</w:t>
      </w:r>
    </w:p>
    <w:bookmarkEnd w:id="24"/>
    <w:bookmarkStart w:id="25" w:name="réponse-à-la-problématique-conclusion"/>
    <w:p>
      <w:pPr>
        <w:pStyle w:val="Heading2"/>
      </w:pPr>
      <w:r>
        <w:t xml:space="preserve">5.4. Réponse à la problématique (conclusion)</w:t>
      </w:r>
    </w:p>
    <w:p>
      <w:pPr>
        <w:pStyle w:val="BlockText"/>
      </w:pPr>
      <w:r>
        <w:t xml:space="preserve">« Ce sont surtout les start-up européennes, Mistral AI et Aleph Alpha, appuyées par les gouvernements français et allemand, qui ont le plus pesé : en passant par le Conseil et en invoquant la souveraineté européenne, elles ont obtenu des règles allégées pour la plupart des modèles. Mais le Parlement a obtenu le maintien d’un cadre contraignant, avec des sanctions. »</w:t>
      </w:r>
    </w:p>
    <w:bookmarkEnd w:id="25"/>
    <w:bookmarkEnd w:id="26"/>
    <w:bookmarkStart w:id="27" w:name="proposition-de-slide"/>
    <w:p>
      <w:pPr>
        <w:pStyle w:val="Heading1"/>
      </w:pPr>
      <w:r>
        <w:t xml:space="preserve">3. Proposition de slide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Bloc 1 — La décision finale</w:t>
      </w:r>
      <w:r>
        <w:t xml:space="preserve"> </w:t>
      </w:r>
      <w:r>
        <w:t xml:space="preserve">: un schéma à deux étages.</w:t>
      </w:r>
    </w:p>
    <w:p>
      <w:pPr>
        <w:numPr>
          <w:ilvl w:val="1"/>
          <w:numId w:val="1008"/>
        </w:numPr>
        <w:pStyle w:val="Compact"/>
      </w:pPr>
      <w:r>
        <w:t xml:space="preserve">En bas : « Tous les GPAI → transparence ».</w:t>
      </w:r>
    </w:p>
    <w:p>
      <w:pPr>
        <w:numPr>
          <w:ilvl w:val="1"/>
          <w:numId w:val="1008"/>
        </w:numPr>
        <w:pStyle w:val="Compact"/>
      </w:pPr>
      <w:r>
        <w:t xml:space="preserve">En haut : « Risque systémique (&gt; 10²⁵ FLOP) → obligations renforcées ».</w:t>
      </w:r>
    </w:p>
    <w:p>
      <w:pPr>
        <w:numPr>
          <w:ilvl w:val="1"/>
          <w:numId w:val="1008"/>
        </w:numPr>
        <w:pStyle w:val="Compact"/>
      </w:pPr>
      <w:r>
        <w:t xml:space="preserve">En petit : « Open source : exemption partielle » et « Amendes jusqu’à 3 % du CA mondial ».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Bloc 2 — Qui a obtenu quoi ?</w:t>
      </w:r>
      <w:r>
        <w:t xml:space="preserve"> </w:t>
      </w:r>
      <w:r>
        <w:t xml:space="preserve">Un tableau de trois lignes (Parlement / FR-DE-IT et start-up / Big Tech) avec deux colonnes : « a obtenu » et « n’a pas obtenu ».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Bloc 3 — Enseignements</w:t>
      </w:r>
      <w:r>
        <w:t xml:space="preserve"> </w:t>
      </w:r>
      <w:r>
        <w:t xml:space="preserve">: quatre mots-clés : passer par les États · cadrage souveraineté · timing · limites.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Bandeau final</w:t>
      </w:r>
      <w:r>
        <w:t xml:space="preserve"> </w:t>
      </w:r>
      <w:r>
        <w:t xml:space="preserve">: la réponse à la problématique, en une phrase.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Pied de slide</w:t>
      </w:r>
      <w:r>
        <w:t xml:space="preserve"> </w:t>
      </w:r>
      <w:r>
        <w:t xml:space="preserve">: les sources.</w:t>
      </w:r>
    </w:p>
    <w:p>
      <w:pPr>
        <w:pStyle w:val="FirstParagraph"/>
      </w:pPr>
      <w:r>
        <w:t xml:space="preserve">Il faut supprimer tout le texte du modèle Canva (« Lorem ipsum », « Statistics / Database management / Programming »).</w:t>
      </w:r>
    </w:p>
    <w:bookmarkEnd w:id="27"/>
    <w:bookmarkStart w:id="28" w:name="texte-oral-environ-2-minutes-15"/>
    <w:p>
      <w:pPr>
        <w:pStyle w:val="Heading1"/>
      </w:pPr>
      <w:r>
        <w:t xml:space="preserve">4. Texte oral (environ 2 minutes 15)</w:t>
      </w:r>
    </w:p>
    <w:p>
      <w:pPr>
        <w:pStyle w:val="BlockText"/>
      </w:pPr>
      <w:r>
        <w:t xml:space="preserve">Quel est le résultat de cette bataille ? Le compromis trouvé le 8 décembre 2023 repose sur deux niveaux. Tous les modèles d’IA à usage général doivent être transparents : documentation technique, informations aux entreprises qui les utilisent, respect du droit d’auteur et résumé des données d’entraînement. Seuls les modèles les plus puissants ont des obligations renforcées : tests, gestion des risques, signalement des incidents. Les modèles open source sont en partie exemptés.</w:t>
      </w:r>
    </w:p>
    <w:p>
      <w:pPr>
        <w:pStyle w:val="BlockText"/>
      </w:pPr>
      <w:r>
        <w:t xml:space="preserve">Qui a obtenu quoi ? Le Parlement a obtenu une loi contraignante, avec des amendes allant jusqu’à 3 % du chiffre d’affaires mondial. Mais la France, l’Allemagne et leurs start-up ont obtenu des règles légères pour la plupart des modèles, l’exemption de l’open source et un code de bonnes pratiques. Arthur Mensch, le dirigeant de Mistral AI, a d’ailleurs jugé le texte final « parfaitement gérable ». Les géants américains, eux, ont évité que leurs modèles soient classés « à haut risque » par défaut.</w:t>
      </w:r>
    </w:p>
    <w:p>
      <w:pPr>
        <w:pStyle w:val="BlockText"/>
      </w:pPr>
      <w:r>
        <w:t xml:space="preserve">Que nous apprend ce cas ? D’abord, la stratégie la plus efficace a été de passer par les gouvernements, au Conseil. Ensuite, le cadrage compte : un intérêt d’entreprise présenté comme une question de souveraineté européenne devient beaucoup plus audible. Enfin, le moment est décisif : la pression a été maximale à la fin des négociations. Mais ce lobbying a ses limites : l’autorégulation pure a été refusée, et l’accord entre Microsoft et Mistral AI, en février 2024, a affaibli l’argument des « champions européens ».</w:t>
      </w:r>
    </w:p>
    <w:p>
      <w:pPr>
        <w:pStyle w:val="BlockText"/>
      </w:pPr>
      <w:r>
        <w:t xml:space="preserve">Pour répondre à notre question : ce sont surtout les start-up européennes, appuyées par leurs gouvernements, qui ont le plus pesé. Elles ont adouci la règle, sans pouvoir l’empêcher. Merci de votre attention.</w:t>
      </w:r>
    </w:p>
    <w:bookmarkEnd w:id="28"/>
    <w:bookmarkStart w:id="29" w:name="qui-présente-la-partie-5"/>
    <w:p>
      <w:pPr>
        <w:pStyle w:val="Heading1"/>
      </w:pPr>
      <w:r>
        <w:t xml:space="preserve">5. Qui présente la partie 5 ?</w:t>
      </w:r>
    </w:p>
    <w:p>
      <w:pPr>
        <w:pStyle w:val="FirstParagraph"/>
      </w:pPr>
      <w:r>
        <w:t xml:space="preserve">Trois options sont compatibles avec la consigne (« chaque étudiant présente une partie précise ») 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Option A</w:t>
      </w:r>
      <w:r>
        <w:t xml:space="preserve"> </w:t>
      </w:r>
      <w:r>
        <w:t xml:space="preserve">: une seule personne présente toute la partie 5.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Option B</w:t>
      </w:r>
      <w:r>
        <w:t xml:space="preserve"> </w:t>
      </w:r>
      <w:r>
        <w:t xml:space="preserve">: la personne qui a présenté la partie 1 fait aussi la conclusion. Comme elle a posé la problématique, c’est elle qui y répond.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Option C</w:t>
      </w:r>
      <w:r>
        <w:t xml:space="preserve"> </w:t>
      </w:r>
      <w:r>
        <w:t xml:space="preserve">: la partie est découpée en sous-parties précises, par exemple 5.1 et 5.2 pour une personne, 5.3 et 5.4 pour une autre.</w:t>
      </w:r>
    </w:p>
    <w:p>
      <w:pPr>
        <w:pStyle w:val="FirstParagraph"/>
      </w:pPr>
      <w:r>
        <w:t xml:space="preserve">Il faut éviter « TOUS » sans répartition précise.</w:t>
      </w:r>
    </w:p>
    <w:bookmarkEnd w:id="29"/>
    <w:bookmarkStart w:id="30" w:name="Xe995c722cef3c18639f57a32dbca7989a5e1dc7"/>
    <w:p>
      <w:pPr>
        <w:pStyle w:val="Heading1"/>
      </w:pPr>
      <w:r>
        <w:t xml:space="preserve">6. Lien avec la mini-analyse individuelle (25 %)</w:t>
      </w:r>
    </w:p>
    <w:p>
      <w:pPr>
        <w:pStyle w:val="FirstParagraph"/>
      </w:pPr>
      <w:r>
        <w:t xml:space="preserve">La partie 5 donne directement de la matière pour les trois questions au choix 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Quelle stratégie a été la plus efficace ?</w:t>
      </w:r>
      <w:r>
        <w:t xml:space="preserve"> </w:t>
      </w:r>
      <w:r>
        <w:t xml:space="preserve">Passer par les gouvernements nationaux au Conseil, avec un cadrage « souveraineté ».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Quel acteur a été déterminant ?</w:t>
      </w:r>
      <w:r>
        <w:t xml:space="preserve"> </w:t>
      </w:r>
      <w:r>
        <w:t xml:space="preserve">Le gouvernement français et Mistral AI (Cédric O), avec le gouvernement allemand et Aleph Alpha.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Quel moment a fait basculer la décision ?</w:t>
      </w:r>
      <w:r>
        <w:t xml:space="preserve"> </w:t>
      </w:r>
      <w:r>
        <w:t xml:space="preserve">Novembre 2023 (blocage et</w:t>
      </w:r>
      <w:r>
        <w:t xml:space="preserve"> </w:t>
      </w:r>
      <w:r>
        <w:rPr>
          <w:iCs/>
          <w:i/>
        </w:rPr>
        <w:t xml:space="preserve">non-paper</w:t>
      </w:r>
      <w:r>
        <w:t xml:space="preserve"> </w:t>
      </w:r>
      <w:r>
        <w:t xml:space="preserve">du 18/11/2023), jusqu’à l’accord du 8 décembre 2023.</w:t>
      </w:r>
    </w:p>
    <w:bookmarkEnd w:id="30"/>
    <w:bookmarkStart w:id="31" w:name="sources"/>
    <w:p>
      <w:pPr>
        <w:pStyle w:val="Heading1"/>
      </w:pPr>
      <w:r>
        <w:t xml:space="preserve">7. Sources</w:t>
      </w:r>
    </w:p>
    <w:p>
      <w:pPr>
        <w:numPr>
          <w:ilvl w:val="0"/>
          <w:numId w:val="1011"/>
        </w:numPr>
        <w:pStyle w:val="Compact"/>
      </w:pPr>
      <w:r>
        <w:t xml:space="preserve">Règlement (UE) 2024/1689 (AI Act), art. 51, 53, 55, 56, 101 ; annexes XI à XIII — EUR-Lex.</w:t>
      </w:r>
    </w:p>
    <w:p>
      <w:pPr>
        <w:numPr>
          <w:ilvl w:val="0"/>
          <w:numId w:val="1011"/>
        </w:numPr>
        <w:pStyle w:val="Compact"/>
      </w:pPr>
      <w:r>
        <w:t xml:space="preserve">Commission européenne,</w:t>
      </w:r>
      <w:r>
        <w:t xml:space="preserve"> </w:t>
      </w:r>
      <w:r>
        <w:rPr>
          <w:iCs/>
          <w:i/>
        </w:rPr>
        <w:t xml:space="preserve">Code de bonnes pratiques pour l’IA à usage général</w:t>
      </w:r>
      <w:r>
        <w:t xml:space="preserve">, 10 juillet 2025 ; liste des signataires, 1er août 2025.</w:t>
      </w:r>
    </w:p>
    <w:p>
      <w:pPr>
        <w:numPr>
          <w:ilvl w:val="0"/>
          <w:numId w:val="1011"/>
        </w:numPr>
        <w:pStyle w:val="Compact"/>
      </w:pPr>
      <w:r>
        <w:t xml:space="preserve">Corporate Europe Observatory, LobbyControl, Observatoire des multinationales, « Trojan horses : how European startups teamed up with Big Tech to gut the AI Act », mars 2024.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Non-paper</w:t>
      </w:r>
      <w:r>
        <w:t xml:space="preserve"> </w:t>
      </w:r>
      <w:r>
        <w:t xml:space="preserve">France-Allemagne-Italie sur les modèles de fondation, 18 novembre 2023 (publié par</w:t>
      </w:r>
      <w:r>
        <w:t xml:space="preserve"> </w:t>
      </w:r>
      <w:r>
        <w:rPr>
          <w:iCs/>
          <w:i/>
        </w:rPr>
        <w:t xml:space="preserve">Table.Media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Siècle Digital</w:t>
      </w:r>
      <w:r>
        <w:t xml:space="preserve">, 12 décembre 2023 (citation d’Emmanuel Macron).</w:t>
      </w:r>
    </w:p>
    <w:p>
      <w:pPr>
        <w:numPr>
          <w:ilvl w:val="0"/>
          <w:numId w:val="1011"/>
        </w:numPr>
        <w:pStyle w:val="Compact"/>
      </w:pPr>
      <w:r>
        <w:t xml:space="preserve">Presse, février 2024 : partenariat Microsoft–Mistral AI.</w:t>
      </w:r>
    </w:p>
    <w:p>
      <w:pPr>
        <w:numPr>
          <w:ilvl w:val="0"/>
          <w:numId w:val="1011"/>
        </w:numPr>
        <w:pStyle w:val="Compact"/>
      </w:pPr>
      <w:r>
        <w:t xml:space="preserve">IAPP /</w:t>
      </w:r>
      <w:r>
        <w:t xml:space="preserve"> </w:t>
      </w:r>
      <w:r>
        <w:rPr>
          <w:iCs/>
          <w:i/>
        </w:rPr>
        <w:t xml:space="preserve">Euronews</w:t>
      </w:r>
      <w:r>
        <w:t xml:space="preserve">, juillet 2025 : la Commission refuse de « stopper l’horloge ».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Partie 5 — Résultat et enseignements</dc:title>
  <dc:creator/>
  <cp:keywords/>
  <dcterms:created xsi:type="dcterms:W3CDTF">2026-10-15T13:38:58Z</dcterms:created>
  <dcterms:modified xsi:type="dcterms:W3CDTF">2026-10-15T13:38:58Z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Comment construire la dernière partie (docs, slide et oral)</vt:lpwstr>
  </property>
</Properties>
</file>