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lecture-finale-slides-et-texte-oral"/>
    <w:p>
      <w:pPr>
        <w:pStyle w:val="Heading1"/>
      </w:pPr>
      <w:r>
        <w:t xml:space="preserve">Relecture finale – slides et texte oral</w:t>
      </w:r>
    </w:p>
    <w:p>
      <w:pPr>
        <w:pStyle w:val="FirstParagraph"/>
      </w:pPr>
      <w:r>
        <w:t xml:space="preserve">Relecture de la version finale (7 pages de slides et texte oral complet), comparée avec la consigne du prof. Seules les erreurs importantes sont relevées. Relecture réalisée avec l’aide d’une IA ; les faits ont été vérifiés dans des sources en ligne.</w:t>
      </w:r>
    </w:p>
    <w:bookmarkStart w:id="20" w:name="bilan-rapide"/>
    <w:p>
      <w:pPr>
        <w:pStyle w:val="Heading2"/>
      </w:pPr>
      <w:r>
        <w:t xml:space="preserve">1. Bilan rapide</w:t>
      </w:r>
    </w:p>
    <w:p>
      <w:pPr>
        <w:pStyle w:val="FirstParagraph"/>
      </w:pPr>
      <w:r>
        <w:t xml:space="preserve">Les slides 1, 2 et 3 sont conformes à la consigne. Les erreurs importantes restantes sont concentrées sur la slide 4, la slide 5 et la durée. Elles peuvent être corrigées en 25 à 30 minutes.</w:t>
      </w:r>
    </w:p>
    <w:bookmarkEnd w:id="20"/>
    <w:bookmarkStart w:id="21" w:name="les-erreurs-les-plus-importantes"/>
    <w:p>
      <w:pPr>
        <w:pStyle w:val="Heading2"/>
      </w:pPr>
      <w:r>
        <w:t xml:space="preserve">2. Les erreurs les plus importantes</w:t>
      </w:r>
    </w:p>
    <w:p>
      <w:pPr>
        <w:pStyle w:val="FirstParagraph"/>
      </w:pPr>
      <w:r>
        <w:rPr>
          <w:bCs/>
          <w:b/>
        </w:rPr>
        <w:t xml:space="preserve">🔴 1. Slide 4 et texte de Tania : pas encore corrigés</w:t>
      </w:r>
      <w:r>
        <w:t xml:space="preserve"> </w:t>
      </w:r>
      <w:r>
        <w:t xml:space="preserve">- Photo de Chris Lehane dans la colonne 2022 : il n’est arrivé chez OpenAI qu’en 2024. C’est une erreur factuelle visible. Les photos de S. Altman et A. Makanju ne sont pas non plus justifiées par une source.</w:t>
      </w:r>
      <w:r>
        <w:t xml:space="preserve"> </w:t>
      </w:r>
      <w:r>
        <w:t xml:space="preserve">- Gary Marcus (photo et texte) : sa signature de la lettre du 28/11/2023 n’est pas vérifiée. Seuls Y. Bengio et G. Hinton sont confirmés.</w:t>
      </w:r>
      <w:r>
        <w:t xml:space="preserve"> </w:t>
      </w:r>
      <w:r>
        <w:t xml:space="preserve">- Sur la slide, « Aleph Alpha a influencé le discours des ministres allemands » est présenté comme un fait. C’est l’analyse de LobbyControl : il faut l’attribuer (« Selon LobbyControl… »). Le texte oral le fait déjà.</w:t>
      </w:r>
      <w:r>
        <w:t xml:space="preserve"> </w:t>
      </w:r>
      <w:r>
        <w:t xml:space="preserve">- « VivaTech et Forum de Davos » n’est pas expliqué ; Davos (janvier) est hors de la période indiquée.</w:t>
      </w:r>
      <w:r>
        <w:t xml:space="preserve"> </w:t>
      </w:r>
      <w:r>
        <w:t xml:space="preserve">- Le non-paper du 18/11/2023 n’est présenté ni sur la slide 4 ni à l’oral, alors que la slide 5 cite le mot « non-paper ». Le prof peut demander ce que c’est.</w:t>
      </w:r>
      <w:r>
        <w:t xml:space="preserve"> </w:t>
      </w:r>
      <w:r>
        <w:t xml:space="preserve">- À l’oral : « En contre l’action des experts », « présenter leurs préoccupations des restrictions » et « Cependant » (pas d’opposition avec ce qui précède) sont incorrects. Prononcer « Obermann » et « Fürstenberg ».</w:t>
      </w:r>
      <w:r>
        <w:t xml:space="preserve"> </w:t>
      </w:r>
      <w:r>
        <w:t xml:space="preserve">- Les sources de la slide sont incomplètes (« Source: Time, Commission Européenne, Observatoire des Multinationales »).</w:t>
      </w:r>
    </w:p>
    <w:p>
      <w:pPr>
        <w:pStyle w:val="BodyText"/>
      </w:pPr>
      <w:r>
        <w:rPr>
          <w:bCs/>
          <w:b/>
        </w:rPr>
        <w:t xml:space="preserve">🔴 2. Slide 5 : un titre en double et une case hors sujet</w:t>
      </w:r>
      <w:r>
        <w:t xml:space="preserve"> </w:t>
      </w:r>
      <w:r>
        <w:t xml:space="preserve">- La case de droite porte le même titre que celle de gauche (« QUI A OBTENU QUOI ? QUELS COMPROMIS? »). Il faut « QUE NOUS APPREND CE CAS ? ».</w:t>
      </w:r>
      <w:r>
        <w:t xml:space="preserve"> </w:t>
      </w:r>
      <w:r>
        <w:t xml:space="preserve">- La case « QUELLE DÉCISION FINALE ? » décrit tout l’AI Act (« approche fondée sur les risques »), alors que l’oral de Nhi présente le chapitre V et ses deux niveaux de règles. La slide et l’oral ne disent pas la même chose.</w:t>
      </w:r>
      <w:r>
        <w:t xml:space="preserve"> </w:t>
      </w:r>
      <w:r>
        <w:t xml:space="preserve">- Pas de sources.</w:t>
      </w:r>
    </w:p>
    <w:p>
      <w:pPr>
        <w:pStyle w:val="BodyText"/>
      </w:pPr>
      <w:r>
        <w:rPr>
          <w:bCs/>
          <w:b/>
        </w:rPr>
        <w:t xml:space="preserve">🔴 3. Durée : risque de dépasser 10 minutes</w:t>
      </w:r>
      <w:r>
        <w:t xml:space="preserve"> </w:t>
      </w:r>
      <w:r>
        <w:t xml:space="preserve">- Le texte fait environ 1 300 mots, soit 10 à 10,5 minutes à un débit normal, sans compter les changements de slide.</w:t>
      </w:r>
      <w:r>
        <w:t xml:space="preserve"> </w:t>
      </w:r>
      <w:r>
        <w:t xml:space="preserve">- La partie de Tania est la plus longue (293 mots). Zhiying raconte en détail l’histoire OpenAI / TIME que Tania raconte aussi.</w:t>
      </w:r>
      <w:r>
        <w:t xml:space="preserve"> </w:t>
      </w:r>
      <w:r>
        <w:t xml:space="preserve">- Avec les deux corrections ci-dessous, on passe à environ 1 170 mots, soit environ 9 minutes.</w:t>
      </w:r>
    </w:p>
    <w:p>
      <w:pPr>
        <w:pStyle w:val="BodyText"/>
      </w:pPr>
      <w:r>
        <w:rPr>
          <w:bCs/>
          <w:b/>
        </w:rPr>
        <w:t xml:space="preserve">🟠 4. Slide 3 : pas de fédérations</w:t>
      </w:r>
      <w:r>
        <w:t xml:space="preserve"> </w:t>
      </w:r>
      <w:r>
        <w:t xml:space="preserve">- La consigne cite « entreprises et fédérations ». Aucune fédération professionnelle n’apparaît. Si on ne peut pas l’ajouter avec une source, préparer la réponse ci-dessous.</w:t>
      </w:r>
    </w:p>
    <w:bookmarkEnd w:id="21"/>
    <w:bookmarkStart w:id="22" w:name="comparaison-avec-la-consigne"/>
    <w:p>
      <w:pPr>
        <w:pStyle w:val="Heading2"/>
      </w:pPr>
      <w:r>
        <w:t xml:space="preserve">3. Comparaison avec la consigne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Partie</w:t>
            </w:r>
          </w:p>
        </w:tc>
        <w:tc>
          <w:tcPr/>
          <w:p>
            <w:pPr>
              <w:pStyle w:val="Compact"/>
              <w:jc w:val="left"/>
            </w:pPr>
            <w:r>
              <w:t xml:space="preserve">Conforme ?</w:t>
            </w:r>
          </w:p>
        </w:tc>
        <w:tc>
          <w:tcPr/>
          <w:p>
            <w:pPr>
              <w:pStyle w:val="Compact"/>
              <w:jc w:val="left"/>
            </w:pPr>
            <w:r>
              <w:t xml:space="preserve">Remarque</w:t>
            </w:r>
          </w:p>
        </w:tc>
        <w:tc>
          <w:tcPr/>
          <w:p>
            <w:pPr>
              <w:pStyle w:val="Compact"/>
              <w:jc w:val="left"/>
            </w:pPr>
            <w:r>
              <w:t xml:space="preserve">Estimation</w:t>
            </w:r>
          </w:p>
        </w:tc>
      </w:tr>
      <w:tr>
        <w:tc>
          <w:tcPr/>
          <w:p>
            <w:pPr>
              <w:pStyle w:val="Compact"/>
              <w:jc w:val="left"/>
            </w:pPr>
            <w:r>
              <w:t xml:space="preserve">1. Contexte &amp; décision publique</w:t>
            </w:r>
          </w:p>
        </w:tc>
        <w:tc>
          <w:tcPr/>
          <w:p>
            <w:pPr>
              <w:pStyle w:val="Compact"/>
              <w:jc w:val="left"/>
            </w:pPr>
            <w:r>
              <w:t xml:space="preserve">Oui</w:t>
            </w:r>
          </w:p>
        </w:tc>
        <w:tc>
          <w:tcPr/>
          <w:p>
            <w:pPr>
              <w:pStyle w:val="Compact"/>
              <w:jc w:val="left"/>
            </w:pPr>
            <w:r>
              <w:t xml:space="preserve">Problème public, décision, qui décide et quand : tout y est.</w:t>
            </w:r>
          </w:p>
        </w:tc>
        <w:tc>
          <w:tcPr/>
          <w:p>
            <w:pPr>
              <w:pStyle w:val="Compact"/>
              <w:jc w:val="left"/>
            </w:pPr>
            <w:r>
              <w:t xml:space="preserve">19/20</w:t>
            </w:r>
          </w:p>
        </w:tc>
      </w:tr>
      <w:tr>
        <w:tc>
          <w:tcPr/>
          <w:p>
            <w:pPr>
              <w:pStyle w:val="Compact"/>
              <w:jc w:val="left"/>
            </w:pPr>
            <w:r>
              <w:t xml:space="preserve">2. Enjeux</w:t>
            </w:r>
          </w:p>
        </w:tc>
        <w:tc>
          <w:tcPr/>
          <w:p>
            <w:pPr>
              <w:pStyle w:val="Compact"/>
              <w:jc w:val="left"/>
            </w:pPr>
            <w:r>
              <w:t xml:space="preserve">Oui</w:t>
            </w:r>
          </w:p>
        </w:tc>
        <w:tc>
          <w:tcPr/>
          <w:p>
            <w:pPr>
              <w:pStyle w:val="Compact"/>
              <w:jc w:val="left"/>
            </w:pPr>
            <w:r>
              <w:t xml:space="preserve">Quatre types d’enjeux, sourcés. Un peu de répétition avec les slides 3 et 4.</w:t>
            </w:r>
          </w:p>
        </w:tc>
        <w:tc>
          <w:tcPr/>
          <w:p>
            <w:pPr>
              <w:pStyle w:val="Compact"/>
              <w:jc w:val="left"/>
            </w:pPr>
            <w:r>
              <w:t xml:space="preserve">18/20</w:t>
            </w:r>
          </w:p>
        </w:tc>
      </w:tr>
      <w:tr>
        <w:tc>
          <w:tcPr/>
          <w:p>
            <w:pPr>
              <w:pStyle w:val="Compact"/>
              <w:jc w:val="left"/>
            </w:pPr>
            <w:r>
              <w:t xml:space="preserve">3. Acteurs</w:t>
            </w:r>
          </w:p>
        </w:tc>
        <w:tc>
          <w:tcPr/>
          <w:p>
            <w:pPr>
              <w:pStyle w:val="Compact"/>
              <w:jc w:val="left"/>
            </w:pPr>
            <w:r>
              <w:t xml:space="preserve">Oui, sauf un point</w:t>
            </w:r>
          </w:p>
        </w:tc>
        <w:tc>
          <w:tcPr/>
          <w:p>
            <w:pPr>
              <w:pStyle w:val="Compact"/>
              <w:jc w:val="left"/>
            </w:pPr>
            <w:r>
              <w:t xml:space="preserve">Cartographie claire, deux camps et décideurs, sources. Il manque les fédérations.</w:t>
            </w:r>
          </w:p>
        </w:tc>
        <w:tc>
          <w:tcPr/>
          <w:p>
            <w:pPr>
              <w:pStyle w:val="Compact"/>
              <w:jc w:val="left"/>
            </w:pPr>
            <w:r>
              <w:t xml:space="preserve">17/20</w:t>
            </w:r>
          </w:p>
        </w:tc>
      </w:tr>
      <w:tr>
        <w:tc>
          <w:tcPr/>
          <w:p>
            <w:pPr>
              <w:pStyle w:val="Compact"/>
              <w:jc w:val="left"/>
            </w:pPr>
            <w:r>
              <w:t xml:space="preserve">4. Déroulé</w:t>
            </w:r>
          </w:p>
        </w:tc>
        <w:tc>
          <w:tcPr/>
          <w:p>
            <w:pPr>
              <w:pStyle w:val="Compact"/>
              <w:jc w:val="left"/>
            </w:pPr>
            <w:r>
              <w:t xml:space="preserve">Partiellement</w:t>
            </w:r>
          </w:p>
        </w:tc>
        <w:tc>
          <w:tcPr/>
          <w:p>
            <w:pPr>
              <w:pStyle w:val="Compact"/>
              <w:jc w:val="left"/>
            </w:pPr>
            <w:r>
              <w:t xml:space="preserve">Traces concrètes, mais une erreur factuelle (Lehane), un signataire non vérifié, le non-paper absent, une affirmation non attribuée.</w:t>
            </w:r>
          </w:p>
        </w:tc>
        <w:tc>
          <w:tcPr/>
          <w:p>
            <w:pPr>
              <w:pStyle w:val="Compact"/>
              <w:jc w:val="left"/>
            </w:pPr>
            <w:r>
              <w:t xml:space="preserve">13/20</w:t>
            </w:r>
          </w:p>
        </w:tc>
      </w:tr>
      <w:tr>
        <w:tc>
          <w:tcPr/>
          <w:p>
            <w:pPr>
              <w:pStyle w:val="Compact"/>
              <w:jc w:val="left"/>
            </w:pPr>
            <w:r>
              <w:t xml:space="preserve">5. Résultat</w:t>
            </w:r>
          </w:p>
        </w:tc>
        <w:tc>
          <w:tcPr/>
          <w:p>
            <w:pPr>
              <w:pStyle w:val="Compact"/>
              <w:jc w:val="left"/>
            </w:pPr>
            <w:r>
              <w:t xml:space="preserve">Partiellement</w:t>
            </w:r>
          </w:p>
        </w:tc>
        <w:tc>
          <w:tcPr/>
          <w:p>
            <w:pPr>
              <w:pStyle w:val="Compact"/>
              <w:jc w:val="left"/>
            </w:pPr>
            <w:r>
              <w:t xml:space="preserve">L’oral répond bien aux trois questions et à la problématique. La slide a un titre en double, une case hors sujet et pas de sources.</w:t>
            </w:r>
          </w:p>
        </w:tc>
        <w:tc>
          <w:tcPr/>
          <w:p>
            <w:pPr>
              <w:pStyle w:val="Compact"/>
              <w:jc w:val="left"/>
            </w:pPr>
            <w:r>
              <w:t xml:space="preserve">15/20</w:t>
            </w:r>
          </w:p>
        </w:tc>
      </w:tr>
      <w:tr>
        <w:tc>
          <w:tcPr/>
          <w:p>
            <w:pPr>
              <w:pStyle w:val="Compact"/>
              <w:jc w:val="left"/>
            </w:pPr>
            <w:r>
              <w:t xml:space="preserve">Forme</w:t>
            </w:r>
          </w:p>
        </w:tc>
        <w:tc>
          <w:tcPr/>
          <w:p>
            <w:pPr>
              <w:pStyle w:val="Compact"/>
              <w:jc w:val="left"/>
            </w:pPr>
            <w:r>
              <w:t xml:space="preserve">Oui</w:t>
            </w:r>
          </w:p>
        </w:tc>
        <w:tc>
          <w:tcPr/>
          <w:p>
            <w:pPr>
              <w:pStyle w:val="Compact"/>
              <w:jc w:val="left"/>
            </w:pPr>
            <w:r>
              <w:t xml:space="preserve">5 slides de contenu (plus couverture et remerciements), chaque membre présente une partie.</w:t>
            </w:r>
          </w:p>
        </w:tc>
        <w:tc>
          <w:tcPr/>
          <w:p>
            <w:pPr>
              <w:pStyle w:val="Compact"/>
              <w:jc w:val="left"/>
            </w:pPr>
            <w:r>
              <w:t xml:space="preserve">—</w:t>
            </w:r>
          </w:p>
        </w:tc>
      </w:tr>
    </w:tbl>
    <w:p>
      <w:pPr>
        <w:pStyle w:val="BodyText"/>
      </w:pPr>
      <w:r>
        <w:rPr>
          <w:bCs/>
          <w:b/>
        </w:rPr>
        <w:t xml:space="preserve">Note estimée</w:t>
      </w:r>
      <w:r>
        <w:t xml:space="preserve"> </w:t>
      </w:r>
      <w:r>
        <w:t xml:space="preserve">(ce n’est qu’une estimation : elle dépend aussi de l’aisance à l’oral et de la grille du prof) :</w:t>
      </w:r>
      <w:r>
        <w:t xml:space="preserve"> </w:t>
      </w:r>
      <w:r>
        <w:t xml:space="preserve">- en l’état : environ</w:t>
      </w:r>
      <w:r>
        <w:t xml:space="preserve"> </w:t>
      </w:r>
      <w:r>
        <w:rPr>
          <w:bCs/>
          <w:b/>
        </w:rPr>
        <w:t xml:space="preserve">15/20</w:t>
      </w:r>
      <w:r>
        <w:t xml:space="preserve"> </w:t>
      </w:r>
      <w:r>
        <w:t xml:space="preserve">;</w:t>
      </w:r>
      <w:r>
        <w:t xml:space="preserve"> </w:t>
      </w:r>
      <w:r>
        <w:t xml:space="preserve">- après les corrections ci-dessous : environ</w:t>
      </w:r>
      <w:r>
        <w:t xml:space="preserve"> </w:t>
      </w:r>
      <w:r>
        <w:rPr>
          <w:bCs/>
          <w:b/>
        </w:rPr>
        <w:t xml:space="preserve">16,5 à 17/20</w:t>
      </w:r>
      <w:r>
        <w:t xml:space="preserve">.</w:t>
      </w:r>
    </w:p>
    <w:bookmarkEnd w:id="22"/>
    <w:bookmarkStart w:id="23" w:name="à-faire-ce-soir-25-à-30-minutes"/>
    <w:p>
      <w:pPr>
        <w:pStyle w:val="Heading2"/>
      </w:pPr>
      <w:r>
        <w:t xml:space="preserve">4. À faire ce soir (25 à 30 minutes)</w:t>
      </w:r>
    </w:p>
    <w:p>
      <w:pPr>
        <w:pStyle w:val="FirstParagraph"/>
      </w:pPr>
      <w:r>
        <w:rPr>
          <w:bCs/>
          <w:b/>
        </w:rPr>
        <w:t xml:space="preserve">Slide 5 (5 minutes)</w:t>
      </w:r>
      <w:r>
        <w:t xml:space="preserve"> </w:t>
      </w:r>
      <w:r>
        <w:t xml:space="preserve">1. Titre de la case de droite :</w:t>
      </w:r>
    </w:p>
    <w:p>
      <w:pPr>
        <w:pStyle w:val="SourceCode"/>
      </w:pPr>
      <w:r>
        <w:rPr>
          <w:rStyle w:val="VerbatimChar"/>
        </w:rPr>
        <w:t xml:space="preserve">QUE NOUS APPREND CE CAS ?</w:t>
      </w:r>
    </w:p>
    <w:p>
      <w:pPr>
        <w:numPr>
          <w:ilvl w:val="0"/>
          <w:numId w:val="1001"/>
        </w:numPr>
        <w:pStyle w:val="Compact"/>
      </w:pPr>
      <w:r>
        <w:t xml:space="preserve">Texte de la case « QUELLE DÉCISION FINALE ? » :</w:t>
      </w:r>
    </w:p>
    <w:p>
      <w:pPr>
        <w:pStyle w:val="SourceCode"/>
      </w:pPr>
      <w:r>
        <w:rPr>
          <w:rStyle w:val="VerbatimChar"/>
        </w:rPr>
        <w:t xml:space="preserve">08/12/2023 : accord politique · 21/05/2024 : adoption · 01/08/2024 : entrée en vigueur</w:t>
      </w:r>
      <w:r>
        <w:br/>
      </w:r>
      <w:r>
        <w:rPr>
          <w:rStyle w:val="VerbatimChar"/>
        </w:rPr>
        <w:t xml:space="preserve">Chapitre V : deux niveaux de règles. Tous les modèles : transparence. Modèles les plus puissants : obligations renforcées. Open source : exemption partielle.</w:t>
      </w:r>
    </w:p>
    <w:p>
      <w:pPr>
        <w:numPr>
          <w:ilvl w:val="0"/>
          <w:numId w:val="1002"/>
        </w:numPr>
        <w:pStyle w:val="Compact"/>
      </w:pPr>
      <w:r>
        <w:t xml:space="preserve">Sources :</w:t>
      </w:r>
    </w:p>
    <w:p>
      <w:pPr>
        <w:pStyle w:val="SourceCode"/>
      </w:pPr>
      <w:r>
        <w:rPr>
          <w:rStyle w:val="VerbatimChar"/>
        </w:rPr>
        <w:t xml:space="preserve">Sources : Règlement (UE) 2024/1689, art. 51-56 · Conseil de l'UE (21/05/2024) · Non-paper FR-DE-IT (18/11/2023) · CEO / LobbyControl / Observatoire des multinationales (2024)</w:t>
      </w:r>
    </w:p>
    <w:p>
      <w:pPr>
        <w:pStyle w:val="FirstParagraph"/>
      </w:pPr>
      <w:r>
        <w:rPr>
          <w:bCs/>
          <w:b/>
        </w:rPr>
        <w:t xml:space="preserve">Slide 4 (10 minutes)</w:t>
      </w:r>
      <w:r>
        <w:t xml:space="preserve"> </w:t>
      </w:r>
      <w:r>
        <w:t xml:space="preserve">1. Supprimer les photos de C. Lehane, S. Altman, A. Makanju (garder le logo OpenAI) et de G. Marcus.</w:t>
      </w:r>
      <w:r>
        <w:t xml:space="preserve"> </w:t>
      </w:r>
      <w:r>
        <w:t xml:space="preserve">2. Supprimer « VivaTech et Forum de Davos ».</w:t>
      </w:r>
      <w:r>
        <w:t xml:space="preserve"> </w:t>
      </w:r>
      <w:r>
        <w:t xml:space="preserve">3. Remplacer « Aleph Alpha a influencé le discours des ministres allemands, qui ont repris… » par :</w:t>
      </w:r>
    </w:p>
    <w:p>
      <w:pPr>
        <w:pStyle w:val="SourceCode"/>
      </w:pPr>
      <w:r>
        <w:rPr>
          <w:rStyle w:val="VerbatimChar"/>
        </w:rPr>
        <w:t xml:space="preserve">Selon LobbyControl, les ministres allemands ont ensuite repris ses arguments contre la régulation des modèles d'IA.</w:t>
      </w:r>
    </w:p>
    <w:p>
      <w:pPr>
        <w:numPr>
          <w:ilvl w:val="0"/>
          <w:numId w:val="1003"/>
        </w:numPr>
        <w:pStyle w:val="Compact"/>
      </w:pPr>
      <w:r>
        <w:t xml:space="preserve">Ajouter dans la colonne « Octobre 2023 » (et renommer en « OCT. – NOV. 2023 ») :</w:t>
      </w:r>
    </w:p>
    <w:p>
      <w:pPr>
        <w:pStyle w:val="SourceCode"/>
      </w:pPr>
      <w:r>
        <w:rPr>
          <w:rStyle w:val="VerbatimChar"/>
        </w:rPr>
        <w:t xml:space="preserve">18/11/2023 : non-paper commun → « autorégulation obligatoire »</w:t>
      </w:r>
    </w:p>
    <w:p>
      <w:pPr>
        <w:numPr>
          <w:ilvl w:val="0"/>
          <w:numId w:val="1004"/>
        </w:numPr>
        <w:pStyle w:val="Compact"/>
      </w:pPr>
      <w:r>
        <w:t xml:space="preserve">Sources :</w:t>
      </w:r>
    </w:p>
    <w:p>
      <w:pPr>
        <w:pStyle w:val="SourceCode"/>
      </w:pPr>
      <w:r>
        <w:rPr>
          <w:rStyle w:val="VerbatimChar"/>
        </w:rPr>
        <w:t xml:space="preserve">Sources : TIME (20/06/2023) · Reuters (30/06/2023) · Non-paper FR-DE-IT (18/11/2023) · CEO / LobbyControl / Observatoire des multinationales (2024) · Lettre de chercheurs au gouvernement allemand (28/11/2023)</w:t>
      </w:r>
    </w:p>
    <w:p>
      <w:pPr>
        <w:pStyle w:val="FirstParagraph"/>
      </w:pPr>
      <w:r>
        <w:rPr>
          <w:bCs/>
          <w:b/>
        </w:rPr>
        <w:t xml:space="preserve">Texte oral (10 minutes)</w:t>
      </w:r>
      <w:r>
        <w:t xml:space="preserve"> </w:t>
      </w:r>
      <w:r>
        <w:t xml:space="preserve">1. Tania : remplacer tout son texte par la version ci-dessous (200 mots, dans l’ordre actuel des colonnes).</w:t>
      </w:r>
      <w:r>
        <w:t xml:space="preserve"> </w:t>
      </w:r>
      <w:r>
        <w:t xml:space="preserve">2. Zhiying : remplacer le paragraphe « En public, Sam Altman… pas les modèles. » par :</w:t>
      </w:r>
    </w:p>
    <w:p>
      <w:pPr>
        <w:pStyle w:val="SourceCode"/>
      </w:pPr>
      <w:r>
        <w:rPr>
          <w:rStyle w:val="VerbatimChar"/>
        </w:rPr>
        <w:t xml:space="preserve">En public, Sam Altman, le patron d'OpenAI, appelle à réguler l'IA ; mais en coulisses, OpenAI veut réguler les usages, pas les modèles.</w:t>
      </w:r>
    </w:p>
    <w:bookmarkEnd w:id="23"/>
    <w:bookmarkStart w:id="24" w:name="nouveau-texte-de-tania-slide-4"/>
    <w:p>
      <w:pPr>
        <w:pStyle w:val="Heading2"/>
      </w:pPr>
      <w:r>
        <w:t xml:space="preserve">5. Nouveau texte de Tania (slide 4)</w:t>
      </w:r>
    </w:p>
    <w:p>
      <w:pPr>
        <w:pStyle w:val="FirstParagraph"/>
      </w:pPr>
      <w:r>
        <w:t xml:space="preserve">Voici les principales traces d’influence.</w:t>
      </w:r>
    </w:p>
    <w:p>
      <w:pPr>
        <w:pStyle w:val="BodyText"/>
      </w:pPr>
      <w:r>
        <w:t xml:space="preserve">Premièrement, OpenAI. En juin 2022, trois représentants d’OpenAI rencontrent la Commission. En septembre, l’entreprise envoie un livre blanc : ses modèles ne doivent pas être classés « à haut risque ».</w:t>
      </w:r>
    </w:p>
    <w:p>
      <w:pPr>
        <w:pStyle w:val="BodyText"/>
      </w:pPr>
      <w:r>
        <w:t xml:space="preserve">Deuxièmement, en juin 2023, juste après le vote du Parlement, plus de 150 dirigeants d’entreprises signent une lettre ouverte, lancée notamment par Cédric O, René Obermann et Jeannette zu Fürstenberg. Selon eux, des règles trop strictes mettraient en péril la compétitivité et la souveraineté technologique de l’Europe.</w:t>
      </w:r>
    </w:p>
    <w:p>
      <w:pPr>
        <w:pStyle w:val="BodyText"/>
      </w:pPr>
      <w:r>
        <w:t xml:space="preserve">Troisièmement, les États prennent le relais. Le 30 octobre, à Rome, les ministres de l’Économie français, allemand et italien plaident pour réguler les usages de l’IA, pas la technologie. Puis, le 18 novembre, les trois pays font circuler un « non-paper », un document de négociation informel : pas d’obligations pour les modèles, mais une « autorégulation obligatoire ».</w:t>
      </w:r>
    </w:p>
    <w:p>
      <w:pPr>
        <w:pStyle w:val="BodyText"/>
      </w:pPr>
      <w:r>
        <w:t xml:space="preserve">En parallèle, entre juin et novembre 2023, Aleph Alpha obtient douze rendez-vous avec le gouvernement allemand. Selon l’ONG LobbyControl, ses arguments se retrouvent ensuite dans le discours des ministres allemands.</w:t>
      </w:r>
    </w:p>
    <w:p>
      <w:pPr>
        <w:pStyle w:val="BodyText"/>
      </w:pPr>
      <w:r>
        <w:t xml:space="preserve">Enfin, il y a une réaction. Le 28 novembre, des chercheurs, dont Yoshua Bengio et Geoffrey Hinton, écrivent au gouvernement allemand : exclure ces modèles de l’AI Act serait « un échec historique ».</w:t>
      </w:r>
    </w:p>
    <w:bookmarkEnd w:id="24"/>
    <w:bookmarkStart w:id="25" w:name="si-le-prof-pose-la-question"/>
    <w:p>
      <w:pPr>
        <w:pStyle w:val="Heading2"/>
      </w:pPr>
      <w:r>
        <w:t xml:space="preserve">6. Si le prof pose la question</w:t>
      </w:r>
    </w:p>
    <w:p>
      <w:pPr>
        <w:numPr>
          <w:ilvl w:val="0"/>
          <w:numId w:val="1005"/>
        </w:numPr>
        <w:pStyle w:val="Compact"/>
      </w:pPr>
      <w:r>
        <w:rPr>
          <w:bCs/>
          <w:b/>
        </w:rPr>
        <w:t xml:space="preserve">« Et les fédérations professionnelles ? »</w:t>
      </w:r>
      <w:r>
        <w:t xml:space="preserve"> </w:t>
      </w:r>
      <w:r>
        <w:t xml:space="preserve">: « Des fédérations du numérique ont aussi défendu des règles plus légères. Nous avons centré l’analyse sur les acteurs dont l’influence est documentée par nos sources : les entreprises, les États et la société civile. »</w:t>
      </w:r>
    </w:p>
    <w:p>
      <w:pPr>
        <w:numPr>
          <w:ilvl w:val="0"/>
          <w:numId w:val="1005"/>
        </w:numPr>
        <w:pStyle w:val="Compact"/>
      </w:pPr>
      <w:r>
        <w:rPr>
          <w:bCs/>
          <w:b/>
        </w:rPr>
        <w:t xml:space="preserve">« C’est quoi, un non-paper ? »</w:t>
      </w:r>
      <w:r>
        <w:t xml:space="preserve"> </w:t>
      </w:r>
      <w:r>
        <w:t xml:space="preserve">: « Un document de négociation informel, sans valeur officielle, que des États font circuler pour peser sur un texte. »</w:t>
      </w:r>
    </w:p>
    <w:p>
      <w:pPr>
        <w:numPr>
          <w:ilvl w:val="0"/>
          <w:numId w:val="1005"/>
        </w:numPr>
        <w:pStyle w:val="Compact"/>
      </w:pPr>
      <w:r>
        <w:rPr>
          <w:bCs/>
          <w:b/>
        </w:rPr>
        <w:t xml:space="preserve">« Comment savez-vous que le lobbying a marché ? »</w:t>
      </w:r>
      <w:r>
        <w:t xml:space="preserve"> </w:t>
      </w:r>
      <w:r>
        <w:t xml:space="preserve">: « Nous ne pouvons pas le prouver. Nous observons que les arguments des entreprises se retrouvent dans les positions des gouvernements, puis dans le compromis final. Une trace d’influence n’est pas une preuve. »</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2026-10-21T20:46:05Z</dcterms:created>
  <dcterms:modified xsi:type="dcterms:W3CDTF">2026-10-21T20:46:05Z</dcterms:modified>
</cp:coreProperties>
</file>

<file path=docProps/custom.xml><?xml version="1.0" encoding="utf-8"?>
<Properties xmlns="http://schemas.openxmlformats.org/officeDocument/2006/custom-properties" xmlns:vt="http://schemas.openxmlformats.org/officeDocument/2006/docPropsVTypes"/>
</file>