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Sujet</w:t>
      </w:r>
      <w:r>
        <w:t xml:space="preserve"> </w:t>
      </w:r>
      <w:r>
        <w:t xml:space="preserve">11</w:t>
      </w:r>
      <w:r>
        <w:t xml:space="preserve"> </w:t>
      </w:r>
      <w:r>
        <w:t xml:space="preserve">—</w:t>
      </w:r>
      <w:r>
        <w:t xml:space="preserve"> </w:t>
      </w:r>
      <w:r>
        <w:t xml:space="preserve">Partie</w:t>
      </w:r>
      <w:r>
        <w:t xml:space="preserve"> </w:t>
      </w:r>
      <w:r>
        <w:t xml:space="preserve">1</w:t>
      </w:r>
      <w:r>
        <w:t xml:space="preserve"> </w:t>
      </w:r>
      <w:r>
        <w:t xml:space="preserve">:</w:t>
      </w:r>
      <w:r>
        <w:t xml:space="preserve"> </w:t>
      </w:r>
      <w:r>
        <w:t xml:space="preserve">Contexte</w:t>
      </w:r>
      <w:r>
        <w:t xml:space="preserve"> </w:t>
      </w:r>
      <w:r>
        <w:t xml:space="preserve">et</w:t>
      </w:r>
      <w:r>
        <w:t xml:space="preserve"> </w:t>
      </w:r>
      <w:r>
        <w:t xml:space="preserve">décision</w:t>
      </w:r>
      <w:r>
        <w:t xml:space="preserve"> </w:t>
      </w:r>
      <w:r>
        <w:t xml:space="preserve">publique</w:t>
      </w:r>
      <w:r>
        <w:t xml:space="preserve"> </w:t>
      </w:r>
      <w:r>
        <w:t xml:space="preserve">(Nhi)</w:t>
      </w:r>
    </w:p>
    <w:p>
      <w:pPr>
        <w:pStyle w:val="Subtitle"/>
      </w:pPr>
      <w:r>
        <w:t xml:space="preserve">Version</w:t>
      </w:r>
      <w:r>
        <w:t xml:space="preserve"> </w:t>
      </w:r>
      <w:r>
        <w:t xml:space="preserve">courte</w:t>
      </w:r>
      <w:r>
        <w:t xml:space="preserve"> </w:t>
      </w:r>
      <w:r>
        <w:t xml:space="preserve">—</w:t>
      </w:r>
      <w:r>
        <w:t xml:space="preserve"> </w:t>
      </w:r>
      <w:r>
        <w:t xml:space="preserve">texte</w:t>
      </w:r>
      <w:r>
        <w:t xml:space="preserve"> </w:t>
      </w:r>
      <w:r>
        <w:t xml:space="preserve">du</w:t>
      </w:r>
      <w:r>
        <w:t xml:space="preserve"> </w:t>
      </w:r>
      <w:r>
        <w:t xml:space="preserve">docs</w:t>
      </w:r>
      <w:r>
        <w:t xml:space="preserve"> </w:t>
      </w:r>
      <w:r>
        <w:t xml:space="preserve">=</w:t>
      </w:r>
      <w:r>
        <w:t xml:space="preserve"> </w:t>
      </w:r>
      <w:r>
        <w:t xml:space="preserve">texte</w:t>
      </w:r>
      <w:r>
        <w:t xml:space="preserve"> </w:t>
      </w:r>
      <w:r>
        <w:t xml:space="preserve">de</w:t>
      </w:r>
      <w:r>
        <w:t xml:space="preserve"> </w:t>
      </w:r>
      <w:r>
        <w:t xml:space="preserve">l’oral</w:t>
      </w:r>
      <w:r>
        <w:t xml:space="preserve"> </w:t>
      </w:r>
      <w:r>
        <w:t xml:space="preserve">(≈</w:t>
      </w:r>
      <w:r>
        <w:t xml:space="preserve"> </w:t>
      </w:r>
      <w:r>
        <w:t xml:space="preserve">2</w:t>
      </w:r>
      <w:r>
        <w:t xml:space="preserve"> </w:t>
      </w:r>
      <w:r>
        <w:t xml:space="preserve">min)</w:t>
      </w:r>
    </w:p>
    <w:bookmarkStart w:id="26" w:name="version-française"/>
    <w:p>
      <w:pPr>
        <w:pStyle w:val="Heading1"/>
      </w:pPr>
      <w:r>
        <w:t xml:space="preserve">VERSION FRANÇAISE</w:t>
      </w:r>
    </w:p>
    <w:bookmarkStart w:id="25" w:name="contexte-et-décision-publique-nhi"/>
    <w:p>
      <w:pPr>
        <w:pStyle w:val="Heading2"/>
      </w:pPr>
      <w:r>
        <w:t xml:space="preserve">1. Contexte et décision publique (Nhi)</w:t>
      </w:r>
    </w:p>
    <w:bookmarkStart w:id="20" w:name="le-contexte-lessor-de-lia-générative"/>
    <w:p>
      <w:pPr>
        <w:pStyle w:val="Heading3"/>
      </w:pPr>
      <w:r>
        <w:t xml:space="preserve">1.1. Le contexte : l’essor de l’IA générative</w:t>
      </w:r>
    </w:p>
    <w:p>
      <w:pPr>
        <w:pStyle w:val="FirstParagraph"/>
      </w:pPr>
      <w:r>
        <w:t xml:space="preserve">Le 30 novembre 2022, OpenAI lance ChatGPT, qui atteint environ 100 millions d’utilisateurs en deux mois. Ces outils reposent sur des « modèles d’IA à usage général » (GPT-4, Gemini, Llama, Mistral) : un seul modèle peut accomplir des tâches très variées et servir de base à des milliers d’applications. Ce marché est dominé par quelques entreprises, surtout américaines. En Europe, les rares concurrents sont Mistral AI (France) et Aleph Alpha (Allemagne).</w:t>
      </w:r>
    </w:p>
    <w:bookmarkEnd w:id="20"/>
    <w:bookmarkStart w:id="21" w:name="le-problème-public"/>
    <w:p>
      <w:pPr>
        <w:pStyle w:val="Heading3"/>
      </w:pPr>
      <w:r>
        <w:t xml:space="preserve">1.2. Le problème public</w:t>
      </w:r>
    </w:p>
    <w:p>
      <w:pPr>
        <w:pStyle w:val="FirstParagraph"/>
      </w:pPr>
      <w:r>
        <w:t xml:space="preserve">En avril 2021, la Commission européenne avait proposé de réguler l’IA selon le risque de chaque usage. Or un modèle à usage général n’a pas d’usage unique : il échappait donc à ce cadre. Pourtant, il pose des risques nouveaux : désinformation et deepfakes, utilisation d’œuvres sans respect du droit d’auteur, opacité sur les données d’entraînement et, pour les modèles les plus puissants, des risques dits « systémiques ».</w:t>
      </w:r>
    </w:p>
    <w:p>
      <w:pPr>
        <w:pStyle w:val="BodyText"/>
      </w:pPr>
      <w:r>
        <w:t xml:space="preserve">D’où la question au cœur de la bataille : faut-il réguler le modèle lui-même ou seulement ses usages, et jusqu’où aller sans freiner l’innovation européenne ?</w:t>
      </w:r>
    </w:p>
    <w:bookmarkEnd w:id="21"/>
    <w:bookmarkStart w:id="22" w:name="la-décision-publique"/>
    <w:p>
      <w:pPr>
        <w:pStyle w:val="Heading3"/>
      </w:pPr>
      <w:r>
        <w:t xml:space="preserve">1.3. La décision publique</w:t>
      </w:r>
    </w:p>
    <w:p>
      <w:pPr>
        <w:pStyle w:val="FirstParagraph"/>
      </w:pPr>
      <w:r>
        <w:t xml:space="preserve">Il s’agit du règlement (UE) 2024/1689 du 13 juin 2024, l’AI Act, et plus précisément de son chapitre V (articles 51 à 56), consacré aux modèles d’IA à usage général. Un règlement s’applique directement dans les 27 États membres, sans transposition : la règle est donc la même pour toute l’Union, ce qui rend l’enjeu considérable pour les acteurs.</w:t>
      </w:r>
    </w:p>
    <w:bookmarkEnd w:id="22"/>
    <w:bookmarkStart w:id="23" w:name="les-institutions-et-les-dates-clés"/>
    <w:p>
      <w:pPr>
        <w:pStyle w:val="Heading3"/>
      </w:pPr>
      <w:r>
        <w:t xml:space="preserve">1.4. Les institutions et les dates clés</w:t>
      </w:r>
    </w:p>
    <w:p>
      <w:pPr>
        <w:pStyle w:val="FirstParagraph"/>
      </w:pPr>
      <w:r>
        <w:t xml:space="preserve">Le texte est adopté selon la procédure législative ordinaire : la Commission propose, puis le Parlement européen et le Conseil de l’UE décident ensemble, après des négociations appelées « trilogues ».</w:t>
      </w:r>
    </w:p>
    <w:p>
      <w:pPr>
        <w:numPr>
          <w:ilvl w:val="0"/>
          <w:numId w:val="1001"/>
        </w:numPr>
        <w:pStyle w:val="Compact"/>
      </w:pPr>
      <w:r>
        <w:t xml:space="preserve">21 avril 2021 : proposition de la Commission</w:t>
      </w:r>
    </w:p>
    <w:p>
      <w:pPr>
        <w:numPr>
          <w:ilvl w:val="0"/>
          <w:numId w:val="1001"/>
        </w:numPr>
        <w:pStyle w:val="Compact"/>
      </w:pPr>
      <w:r>
        <w:t xml:space="preserve">8 décembre 2023 : accord politique en trilogue (moment clé)</w:t>
      </w:r>
    </w:p>
    <w:p>
      <w:pPr>
        <w:numPr>
          <w:ilvl w:val="0"/>
          <w:numId w:val="1001"/>
        </w:numPr>
        <w:pStyle w:val="Compact"/>
      </w:pPr>
      <w:r>
        <w:t xml:space="preserve">13 mars 2024 : vote du Parlement ; 21 mai 2024 : adoption par le Conseil</w:t>
      </w:r>
    </w:p>
    <w:p>
      <w:pPr>
        <w:numPr>
          <w:ilvl w:val="0"/>
          <w:numId w:val="1001"/>
        </w:numPr>
        <w:pStyle w:val="Compact"/>
      </w:pPr>
      <w:r>
        <w:t xml:space="preserve">1er août 2024 : entrée en vigueur</w:t>
      </w:r>
    </w:p>
    <w:p>
      <w:pPr>
        <w:numPr>
          <w:ilvl w:val="0"/>
          <w:numId w:val="1001"/>
        </w:numPr>
        <w:pStyle w:val="Compact"/>
      </w:pPr>
      <w:r>
        <w:t xml:space="preserve">2 août 2025 : application des règles sur les modèles d’IA à usage général</w:t>
      </w:r>
    </w:p>
    <w:p>
      <w:pPr>
        <w:numPr>
          <w:ilvl w:val="0"/>
          <w:numId w:val="1001"/>
        </w:numPr>
        <w:pStyle w:val="Compact"/>
      </w:pPr>
      <w:r>
        <w:t xml:space="preserve">2 août 2026 : le Bureau européen de l’IA (Commission) peut sanctionner</w:t>
      </w:r>
    </w:p>
    <w:bookmarkEnd w:id="23"/>
    <w:bookmarkStart w:id="24" w:name="problématique"/>
    <w:p>
      <w:pPr>
        <w:pStyle w:val="Heading3"/>
      </w:pPr>
      <w:r>
        <w:t xml:space="preserve">1.5. Problématique</w:t>
      </w:r>
    </w:p>
    <w:p>
      <w:pPr>
        <w:pStyle w:val="FirstParagraph"/>
      </w:pPr>
      <w:r>
        <w:t xml:space="preserve">Qui a réussi à peser sur les règles applicables aux grands modèles d’IA dans l’AI Act, et par quels moyens ?</w:t>
      </w:r>
    </w:p>
    <w:bookmarkEnd w:id="24"/>
    <w:bookmarkEnd w:id="25"/>
    <w:bookmarkEnd w:id="26"/>
    <w:bookmarkStart w:id="33" w:name="bản-tiếng-việt"/>
    <w:p>
      <w:pPr>
        <w:pStyle w:val="Heading1"/>
      </w:pPr>
      <w:r>
        <w:t xml:space="preserve">BẢN TIẾNG VIỆT</w:t>
      </w:r>
    </w:p>
    <w:bookmarkStart w:id="32" w:name="bối-cảnh-và-quyết-định-công-nhi"/>
    <w:p>
      <w:pPr>
        <w:pStyle w:val="Heading2"/>
      </w:pPr>
      <w:r>
        <w:t xml:space="preserve">1. Bối cảnh và quyết định công (Nhi)</w:t>
      </w:r>
    </w:p>
    <w:bookmarkStart w:id="27" w:name="bối-cảnh-sự-bùng-nổ-của-ai-tạo-sinh"/>
    <w:p>
      <w:pPr>
        <w:pStyle w:val="Heading3"/>
      </w:pPr>
      <w:r>
        <w:t xml:space="preserve">1.1. Bối cảnh: sự bùng nổ của AI tạo sinh</w:t>
      </w:r>
    </w:p>
    <w:p>
      <w:pPr>
        <w:pStyle w:val="FirstParagraph"/>
      </w:pPr>
      <w:r>
        <w:t xml:space="preserve">Ngày 30/11/2022, OpenAI ra mắt ChatGPT, đạt khoảng 100 triệu người dùng chỉ sau hai tháng. Các công cụ này dựa trên</w:t>
      </w:r>
      <w:r>
        <w:t xml:space="preserve"> </w:t>
      </w:r>
      <w:r>
        <w:t xml:space="preserve">“</w:t>
      </w:r>
      <w:r>
        <w:t xml:space="preserve">mô hình AI đa dụng</w:t>
      </w:r>
      <w:r>
        <w:t xml:space="preserve">”</w:t>
      </w:r>
      <w:r>
        <w:t xml:space="preserve"> </w:t>
      </w:r>
      <w:r>
        <w:t xml:space="preserve">(GPT-4, Gemini, Llama, Mistral): một mô hình duy nhất có thể làm rất nhiều việc khác nhau và làm nền cho hàng nghìn ứng dụng. Thị trường này do một số ít công ty, chủ yếu của Mỹ, chi phối. Ở châu Âu, hiếm hoi chỉ có Mistral AI (Pháp) và Aleph Alpha (Đức) cạnh tranh được.</w:t>
      </w:r>
    </w:p>
    <w:bookmarkEnd w:id="27"/>
    <w:bookmarkStart w:id="28" w:name="vấn-đề-công"/>
    <w:p>
      <w:pPr>
        <w:pStyle w:val="Heading3"/>
      </w:pPr>
      <w:r>
        <w:t xml:space="preserve">1.2. Vấn đề công</w:t>
      </w:r>
    </w:p>
    <w:p>
      <w:pPr>
        <w:pStyle w:val="FirstParagraph"/>
      </w:pPr>
      <w:r>
        <w:t xml:space="preserve">Tháng 4/2021, Ủy ban châu Âu đề xuất quản lý AI theo mức độ rủi ro của từng mục đích sử dụng. Nhưng mô hình đa dụng không có một mục đích duy nhất, nên nằm ngoài khuôn khổ này. Trong khi đó, nó lại gây ra những rủi ro mới: tin giả và deepfake, dùng tác phẩm mà không tôn trọng quyền tác giả, thiếu minh bạch về dữ liệu huấn luyện, và với các mô hình mạnh nhất là những rủi ro</w:t>
      </w:r>
      <w:r>
        <w:t xml:space="preserve"> </w:t>
      </w:r>
      <w:r>
        <w:t xml:space="preserve">“</w:t>
      </w:r>
      <w:r>
        <w:t xml:space="preserve">hệ thống</w:t>
      </w:r>
      <w:r>
        <w:t xml:space="preserve">”</w:t>
      </w:r>
      <w:r>
        <w:t xml:space="preserve">.</w:t>
      </w:r>
    </w:p>
    <w:p>
      <w:pPr>
        <w:pStyle w:val="BodyText"/>
      </w:pPr>
      <w:r>
        <w:t xml:space="preserve">Từ đó nảy sinh câu hỏi trung tâm của trận chiến: nên quản lý bản thân mô hình hay chỉ quản lý cách sử dụng nó, và quản lý đến mức nào để không kìm hãm đổi mới sáng tạo của châu Âu?</w:t>
      </w:r>
    </w:p>
    <w:bookmarkEnd w:id="28"/>
    <w:bookmarkStart w:id="29" w:name="quyết-định-công"/>
    <w:p>
      <w:pPr>
        <w:pStyle w:val="Heading3"/>
      </w:pPr>
      <w:r>
        <w:t xml:space="preserve">1.3. Quyết định công</w:t>
      </w:r>
    </w:p>
    <w:p>
      <w:pPr>
        <w:pStyle w:val="FirstParagraph"/>
      </w:pPr>
      <w:r>
        <w:t xml:space="preserve">Đó là Quy định (EU) 2024/1689 ngày 13/6/2024, tức AI Act, cụ thể là chương V (điều 51 đến 56) về các mô hình AI đa dụng. Một</w:t>
      </w:r>
      <w:r>
        <w:t xml:space="preserve"> </w:t>
      </w:r>
      <w:r>
        <w:t xml:space="preserve">“</w:t>
      </w:r>
      <w:r>
        <w:t xml:space="preserve">règlement</w:t>
      </w:r>
      <w:r>
        <w:t xml:space="preserve">”</w:t>
      </w:r>
      <w:r>
        <w:t xml:space="preserve"> </w:t>
      </w:r>
      <w:r>
        <w:t xml:space="preserve">áp dụng trực tiếp tại 27 nước thành viên mà không cần chuyển hóa vào luật quốc gia: cả Liên minh dùng chung một luật, nên lợi ích đặt ra cho các bên là rất lớn.</w:t>
      </w:r>
    </w:p>
    <w:bookmarkEnd w:id="29"/>
    <w:bookmarkStart w:id="30" w:name="các-thể-chế-và-mốc-thời-gian-chính"/>
    <w:p>
      <w:pPr>
        <w:pStyle w:val="Heading3"/>
      </w:pPr>
      <w:r>
        <w:t xml:space="preserve">1.4. Các thể chế và mốc thời gian chính</w:t>
      </w:r>
    </w:p>
    <w:p>
      <w:pPr>
        <w:pStyle w:val="FirstParagraph"/>
      </w:pPr>
      <w:r>
        <w:t xml:space="preserve">Văn bản được thông qua theo thủ tục lập pháp thông thường: Ủy ban đề xuất, sau đó Nghị viện châu Âu và Hội đồng EU cùng quyết định, qua các vòng đàm phán gọi là</w:t>
      </w:r>
      <w:r>
        <w:t xml:space="preserve"> </w:t>
      </w:r>
      <w:r>
        <w:t xml:space="preserve">“</w:t>
      </w:r>
      <w:r>
        <w:t xml:space="preserve">trilogue</w:t>
      </w:r>
      <w:r>
        <w:t xml:space="preserve">”</w:t>
      </w:r>
      <w:r>
        <w:t xml:space="preserve">.</w:t>
      </w:r>
    </w:p>
    <w:p>
      <w:pPr>
        <w:numPr>
          <w:ilvl w:val="0"/>
          <w:numId w:val="1002"/>
        </w:numPr>
        <w:pStyle w:val="Compact"/>
      </w:pPr>
      <w:r>
        <w:t xml:space="preserve">21/4/2021: Ủy ban đưa ra đề xuất</w:t>
      </w:r>
    </w:p>
    <w:p>
      <w:pPr>
        <w:numPr>
          <w:ilvl w:val="0"/>
          <w:numId w:val="1002"/>
        </w:numPr>
        <w:pStyle w:val="Compact"/>
      </w:pPr>
      <w:r>
        <w:t xml:space="preserve">8/12/2023: thỏa thuận chính trị trong trilogue (thời điểm then chốt)</w:t>
      </w:r>
    </w:p>
    <w:p>
      <w:pPr>
        <w:numPr>
          <w:ilvl w:val="0"/>
          <w:numId w:val="1002"/>
        </w:numPr>
        <w:pStyle w:val="Compact"/>
      </w:pPr>
      <w:r>
        <w:t xml:space="preserve">13/3/2024: Nghị viện bỏ phiếu thông qua; 21/5/2024: Hội đồng thông qua</w:t>
      </w:r>
    </w:p>
    <w:p>
      <w:pPr>
        <w:numPr>
          <w:ilvl w:val="0"/>
          <w:numId w:val="1002"/>
        </w:numPr>
        <w:pStyle w:val="Compact"/>
      </w:pPr>
      <w:r>
        <w:t xml:space="preserve">1/8/2024: luật có hiệu lực</w:t>
      </w:r>
    </w:p>
    <w:p>
      <w:pPr>
        <w:numPr>
          <w:ilvl w:val="0"/>
          <w:numId w:val="1002"/>
        </w:numPr>
        <w:pStyle w:val="Compact"/>
      </w:pPr>
      <w:r>
        <w:t xml:space="preserve">2/8/2025: các quy định về mô hình AI đa dụng bắt đầu áp dụng</w:t>
      </w:r>
    </w:p>
    <w:p>
      <w:pPr>
        <w:numPr>
          <w:ilvl w:val="0"/>
          <w:numId w:val="1002"/>
        </w:numPr>
        <w:pStyle w:val="Compact"/>
      </w:pPr>
      <w:r>
        <w:t xml:space="preserve">2/8/2026: Văn phòng AI châu Âu (thuộc Ủy ban) có quyền xử phạt</w:t>
      </w:r>
    </w:p>
    <w:bookmarkEnd w:id="30"/>
    <w:bookmarkStart w:id="31" w:name="câu-hỏi-nghiên-cứu-problématique"/>
    <w:p>
      <w:pPr>
        <w:pStyle w:val="Heading3"/>
      </w:pPr>
      <w:r>
        <w:t xml:space="preserve">1.5. Câu hỏi nghiên cứu (problématique)</w:t>
      </w:r>
    </w:p>
    <w:p>
      <w:pPr>
        <w:pStyle w:val="FirstParagraph"/>
      </w:pPr>
      <w:r>
        <w:t xml:space="preserve">Ai đã thành công trong việc tác động đến các quy định dành cho mô hình AI lớn trong AI Act, và bằng những cách nào?</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 11 — Partie 1 : Contexte et décision publique (Nhi)</dc:title>
  <dc:creator/>
  <cp:keywords/>
  <dcterms:created xsi:type="dcterms:W3CDTF">2026-10-12T14:27:54Z</dcterms:created>
  <dcterms:modified xsi:type="dcterms:W3CDTF">2026-10-12T14:27:54Z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courte — texte du docs = texte de l’oral (≈ 2 min)</vt:lpwstr>
  </property>
</Properties>
</file>