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oral-complet-version-10-minutes"/>
    <w:p>
      <w:pPr>
        <w:pStyle w:val="Heading1"/>
      </w:pPr>
      <w:r>
        <w:t xml:space="preserve">Oral complet – version 10 minutes</w:t>
      </w:r>
    </w:p>
    <w:p>
      <w:pPr>
        <w:pStyle w:val="FirstParagraph"/>
      </w:pPr>
      <w:r>
        <w:t xml:space="preserve">Version raccourcie et corrigée du texte oral du groupe. Environ 1 070 mots, soit 8 min 30 à 9 min selon le débit, ce qui laisse environ 1 minute de marge pour les changements de slide.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Partie</w:t>
            </w:r>
          </w:p>
        </w:tc>
        <w:tc>
          <w:tcPr/>
          <w:p>
            <w:pPr>
              <w:pStyle w:val="Compact"/>
              <w:jc w:val="left"/>
            </w:pPr>
            <w:r>
              <w:t xml:space="preserve">Qui</w:t>
            </w:r>
          </w:p>
        </w:tc>
        <w:tc>
          <w:tcPr/>
          <w:p>
            <w:pPr>
              <w:pStyle w:val="Compact"/>
              <w:jc w:val="left"/>
            </w:pPr>
            <w:r>
              <w:t xml:space="preserve">Mots</w:t>
            </w:r>
          </w:p>
        </w:tc>
        <w:tc>
          <w:tcPr/>
          <w:p>
            <w:pPr>
              <w:pStyle w:val="Compact"/>
              <w:jc w:val="left"/>
            </w:pPr>
            <w:r>
              <w:t xml:space="preserve">Durée</w:t>
            </w:r>
          </w:p>
        </w:tc>
        <w:tc>
          <w:tcPr/>
          <w:p>
            <w:pPr>
              <w:pStyle w:val="Compact"/>
              <w:jc w:val="left"/>
            </w:pPr>
            <w:r>
              <w:t xml:space="preserve">Horloge</w:t>
            </w:r>
          </w:p>
        </w:tc>
      </w:tr>
      <w:tr>
        <w:tc>
          <w:tcPr/>
          <w:p>
            <w:pPr>
              <w:pStyle w:val="Compact"/>
              <w:jc w:val="left"/>
            </w:pPr>
            <w:r>
              <w:t xml:space="preserve">Introduction</w:t>
            </w:r>
          </w:p>
        </w:tc>
        <w:tc>
          <w:tcPr/>
          <w:p>
            <w:pPr>
              <w:pStyle w:val="Compact"/>
              <w:jc w:val="left"/>
            </w:pPr>
            <w:r>
              <w:t xml:space="preserve">Aude</w:t>
            </w:r>
          </w:p>
        </w:tc>
        <w:tc>
          <w:tcPr/>
          <w:p>
            <w:pPr>
              <w:pStyle w:val="Compact"/>
              <w:jc w:val="left"/>
            </w:pPr>
            <w:r>
              <w:t xml:space="preserve">63</w:t>
            </w:r>
          </w:p>
        </w:tc>
        <w:tc>
          <w:tcPr/>
          <w:p>
            <w:pPr>
              <w:pStyle w:val="Compact"/>
              <w:jc w:val="left"/>
            </w:pPr>
            <w:r>
              <w:t xml:space="preserve">0:30</w:t>
            </w:r>
          </w:p>
        </w:tc>
        <w:tc>
          <w:tcPr/>
          <w:p>
            <w:pPr>
              <w:pStyle w:val="Compact"/>
              <w:jc w:val="left"/>
            </w:pPr>
            <w:r>
              <w:t xml:space="preserve">0:00 → 0:30</w:t>
            </w:r>
          </w:p>
        </w:tc>
      </w:tr>
      <w:tr>
        <w:tc>
          <w:tcPr/>
          <w:p>
            <w:pPr>
              <w:pStyle w:val="Compact"/>
              <w:jc w:val="left"/>
            </w:pPr>
            <w:r>
              <w:t xml:space="preserve">Slide 1 · Contexte</w:t>
            </w:r>
          </w:p>
        </w:tc>
        <w:tc>
          <w:tcPr/>
          <w:p>
            <w:pPr>
              <w:pStyle w:val="Compact"/>
              <w:jc w:val="left"/>
            </w:pPr>
            <w:r>
              <w:t xml:space="preserve">Nhi</w:t>
            </w:r>
          </w:p>
        </w:tc>
        <w:tc>
          <w:tcPr/>
          <w:p>
            <w:pPr>
              <w:pStyle w:val="Compact"/>
              <w:jc w:val="left"/>
            </w:pPr>
            <w:r>
              <w:t xml:space="preserve">221</w:t>
            </w:r>
          </w:p>
        </w:tc>
        <w:tc>
          <w:tcPr/>
          <w:p>
            <w:pPr>
              <w:pStyle w:val="Compact"/>
              <w:jc w:val="left"/>
            </w:pPr>
            <w:r>
              <w:t xml:space="preserve">1:45</w:t>
            </w:r>
          </w:p>
        </w:tc>
        <w:tc>
          <w:tcPr/>
          <w:p>
            <w:pPr>
              <w:pStyle w:val="Compact"/>
              <w:jc w:val="left"/>
            </w:pPr>
            <w:r>
              <w:t xml:space="preserve">0:30 → 2:15</w:t>
            </w:r>
          </w:p>
        </w:tc>
      </w:tr>
      <w:tr>
        <w:tc>
          <w:tcPr/>
          <w:p>
            <w:pPr>
              <w:pStyle w:val="Compact"/>
              <w:jc w:val="left"/>
            </w:pPr>
            <w:r>
              <w:t xml:space="preserve">Slide 2 · Enjeux</w:t>
            </w:r>
          </w:p>
        </w:tc>
        <w:tc>
          <w:tcPr/>
          <w:p>
            <w:pPr>
              <w:pStyle w:val="Compact"/>
              <w:jc w:val="left"/>
            </w:pPr>
            <w:r>
              <w:t xml:space="preserve">Zhiying</w:t>
            </w:r>
          </w:p>
        </w:tc>
        <w:tc>
          <w:tcPr/>
          <w:p>
            <w:pPr>
              <w:pStyle w:val="Compact"/>
              <w:jc w:val="left"/>
            </w:pPr>
            <w:r>
              <w:t xml:space="preserve">158</w:t>
            </w:r>
          </w:p>
        </w:tc>
        <w:tc>
          <w:tcPr/>
          <w:p>
            <w:pPr>
              <w:pStyle w:val="Compact"/>
              <w:jc w:val="left"/>
            </w:pPr>
            <w:r>
              <w:t xml:space="preserve">1:15</w:t>
            </w:r>
          </w:p>
        </w:tc>
        <w:tc>
          <w:tcPr/>
          <w:p>
            <w:pPr>
              <w:pStyle w:val="Compact"/>
              <w:jc w:val="left"/>
            </w:pPr>
            <w:r>
              <w:t xml:space="preserve">2:15 → 3:30</w:t>
            </w:r>
          </w:p>
        </w:tc>
      </w:tr>
      <w:tr>
        <w:tc>
          <w:tcPr/>
          <w:p>
            <w:pPr>
              <w:pStyle w:val="Compact"/>
              <w:jc w:val="left"/>
            </w:pPr>
            <w:r>
              <w:t xml:space="preserve">Slide 3 · Acteurs</w:t>
            </w:r>
          </w:p>
        </w:tc>
        <w:tc>
          <w:tcPr/>
          <w:p>
            <w:pPr>
              <w:pStyle w:val="Compact"/>
              <w:jc w:val="left"/>
            </w:pPr>
            <w:r>
              <w:t xml:space="preserve">Aude</w:t>
            </w:r>
          </w:p>
        </w:tc>
        <w:tc>
          <w:tcPr/>
          <w:p>
            <w:pPr>
              <w:pStyle w:val="Compact"/>
              <w:jc w:val="left"/>
            </w:pPr>
            <w:r>
              <w:t xml:space="preserve">192</w:t>
            </w:r>
          </w:p>
        </w:tc>
        <w:tc>
          <w:tcPr/>
          <w:p>
            <w:pPr>
              <w:pStyle w:val="Compact"/>
              <w:jc w:val="left"/>
            </w:pPr>
            <w:r>
              <w:t xml:space="preserve">1:30</w:t>
            </w:r>
          </w:p>
        </w:tc>
        <w:tc>
          <w:tcPr/>
          <w:p>
            <w:pPr>
              <w:pStyle w:val="Compact"/>
              <w:jc w:val="left"/>
            </w:pPr>
            <w:r>
              <w:t xml:space="preserve">3:30 → 5:00</w:t>
            </w:r>
          </w:p>
        </w:tc>
      </w:tr>
      <w:tr>
        <w:tc>
          <w:tcPr/>
          <w:p>
            <w:pPr>
              <w:pStyle w:val="Compact"/>
              <w:jc w:val="left"/>
            </w:pPr>
            <w:r>
              <w:t xml:space="preserve">Slide 4 · Déroulé</w:t>
            </w:r>
          </w:p>
        </w:tc>
        <w:tc>
          <w:tcPr/>
          <w:p>
            <w:pPr>
              <w:pStyle w:val="Compact"/>
              <w:jc w:val="left"/>
            </w:pPr>
            <w:r>
              <w:t xml:space="preserve">Tania</w:t>
            </w:r>
          </w:p>
        </w:tc>
        <w:tc>
          <w:tcPr/>
          <w:p>
            <w:pPr>
              <w:pStyle w:val="Compact"/>
              <w:jc w:val="left"/>
            </w:pPr>
            <w:r>
              <w:t xml:space="preserve">218</w:t>
            </w:r>
          </w:p>
        </w:tc>
        <w:tc>
          <w:tcPr/>
          <w:p>
            <w:pPr>
              <w:pStyle w:val="Compact"/>
              <w:jc w:val="left"/>
            </w:pPr>
            <w:r>
              <w:t xml:space="preserve">1:45</w:t>
            </w:r>
          </w:p>
        </w:tc>
        <w:tc>
          <w:tcPr/>
          <w:p>
            <w:pPr>
              <w:pStyle w:val="Compact"/>
              <w:jc w:val="left"/>
            </w:pPr>
            <w:r>
              <w:t xml:space="preserve">5:00 → 6:45</w:t>
            </w:r>
          </w:p>
        </w:tc>
      </w:tr>
      <w:tr>
        <w:tc>
          <w:tcPr/>
          <w:p>
            <w:pPr>
              <w:pStyle w:val="Compact"/>
              <w:jc w:val="left"/>
            </w:pPr>
            <w:r>
              <w:t xml:space="preserve">Slide 5 · Résultat</w:t>
            </w:r>
          </w:p>
        </w:tc>
        <w:tc>
          <w:tcPr/>
          <w:p>
            <w:pPr>
              <w:pStyle w:val="Compact"/>
              <w:jc w:val="left"/>
            </w:pPr>
            <w:r>
              <w:t xml:space="preserve">Tous</w:t>
            </w:r>
          </w:p>
        </w:tc>
        <w:tc>
          <w:tcPr/>
          <w:p>
            <w:pPr>
              <w:pStyle w:val="Compact"/>
              <w:jc w:val="left"/>
            </w:pPr>
            <w:r>
              <w:t xml:space="preserve">219</w:t>
            </w:r>
          </w:p>
        </w:tc>
        <w:tc>
          <w:tcPr/>
          <w:p>
            <w:pPr>
              <w:pStyle w:val="Compact"/>
              <w:jc w:val="left"/>
            </w:pPr>
            <w:r>
              <w:t xml:space="preserve">1:45</w:t>
            </w:r>
          </w:p>
        </w:tc>
        <w:tc>
          <w:tcPr/>
          <w:p>
            <w:pPr>
              <w:pStyle w:val="Compact"/>
              <w:jc w:val="left"/>
            </w:pPr>
            <w:r>
              <w:t xml:space="preserve">6:45 → 8:30</w:t>
            </w:r>
          </w:p>
        </w:tc>
      </w:tr>
    </w:tbl>
    <w:bookmarkStart w:id="26" w:name="texte-fr"/>
    <w:p>
      <w:pPr>
        <w:pStyle w:val="Heading2"/>
      </w:pPr>
      <w:r>
        <w:t xml:space="preserve">Texte (FR)</w:t>
      </w:r>
    </w:p>
    <w:bookmarkStart w:id="20" w:name="introduction-aude"/>
    <w:p>
      <w:pPr>
        <w:pStyle w:val="Heading3"/>
      </w:pPr>
      <w:r>
        <w:t xml:space="preserve">Introduction – Aude</w:t>
      </w:r>
    </w:p>
    <w:p>
      <w:pPr>
        <w:pStyle w:val="FirstParagraph"/>
      </w:pPr>
      <w:r>
        <w:t xml:space="preserve">Bonjour à toutes et à tous. Notre sujet porte sur l’IA générative : la bataille autour des règles applicables aux grands modèles d’IA. Notre question est la suivante : qui a réussi à peser sur ces règles, et par quels moyens ? Nous verrons d’abord le contexte, puis les enjeux, les acteurs, le déroulé de la bataille, et enfin son résultat. Nhi commence avec le contexte.</w:t>
      </w:r>
    </w:p>
    <w:bookmarkEnd w:id="20"/>
    <w:bookmarkStart w:id="21" w:name="slide-1-contexte-décision-publique-nhi"/>
    <w:p>
      <w:pPr>
        <w:pStyle w:val="Heading3"/>
      </w:pPr>
      <w:r>
        <w:t xml:space="preserve">Slide 1 – Contexte &amp; décision publique – Nhi</w:t>
      </w:r>
    </w:p>
    <w:p>
      <w:pPr>
        <w:pStyle w:val="FirstParagraph"/>
      </w:pPr>
      <w:r>
        <w:t xml:space="preserve">Le 30 novembre 2022, OpenAI lance ChatGPT. En deux mois, il atteint environ 100 millions d’utilisateurs. Derrière ChatGPT, il y a un « modèle d’IA à usage général », ou GPAI : un seul modèle, qui sert de base à des milliers d’applications. Et ce marché est dominé par les géants américains.</w:t>
      </w:r>
    </w:p>
    <w:p>
      <w:pPr>
        <w:pStyle w:val="BodyText"/>
      </w:pPr>
      <w:r>
        <w:t xml:space="preserve">Cela pose un problème public. En 2021, la Commission a proposé de réguler l’IA selon son usage : plus l’usage est risqué, plus les règles sont strictes. Or, un modèle à usage général n’a pas un seul usage : il échappe à ce cadre. Pourtant, il crée de nouveaux risques : désinformation, atteintes au droit d’auteur, manque de transparence, risques systémiques. D’où la question centrale : faut-il réguler le modèle lui-même, ou seulement ses usages ?</w:t>
      </w:r>
    </w:p>
    <w:p>
      <w:pPr>
        <w:pStyle w:val="BodyText"/>
      </w:pPr>
      <w:r>
        <w:t xml:space="preserve">La décision publique, c’est l’AI Act, le règlement 2024/1689, et plus précisément son chapitre V. Comme c’est un règlement, il s’applique directement dans les 27 États membres.</w:t>
      </w:r>
    </w:p>
    <w:p>
      <w:pPr>
        <w:pStyle w:val="BodyText"/>
      </w:pPr>
      <w:r>
        <w:t xml:space="preserve">Qui décide, et quand ? La Commission propose le texte en avril 2021. Puis le Parlement et le Conseil négocient lors de « trilogues ». Le moment clé, c’est le 8 décembre 2023 : l’accord politique. Le texte est adopté en 2024, et les règles sur ces modèles s’appliquent depuis le 2 août 2025.</w:t>
      </w:r>
    </w:p>
    <w:p>
      <w:pPr>
        <w:pStyle w:val="BodyText"/>
      </w:pPr>
      <w:r>
        <w:t xml:space="preserve">C’est donc entre 2021 et fin 2023 que la bataille s’est jouée. Zhiying va vous présenter les enjeux.</w:t>
      </w:r>
    </w:p>
    <w:bookmarkEnd w:id="21"/>
    <w:bookmarkStart w:id="22" w:name="slide-2-enjeux-zhiying"/>
    <w:p>
      <w:pPr>
        <w:pStyle w:val="Heading3"/>
      </w:pPr>
      <w:r>
        <w:t xml:space="preserve">Slide 2 – Enjeux – Zhiying</w:t>
      </w:r>
    </w:p>
    <w:p>
      <w:pPr>
        <w:pStyle w:val="FirstParagraph"/>
      </w:pPr>
      <w:r>
        <w:t xml:space="preserve">Derrière le discours sur « l’IA éthique », il y a surtout une bataille d’intérêts, autour de quatre enjeux.</w:t>
      </w:r>
    </w:p>
    <w:p>
      <w:pPr>
        <w:pStyle w:val="BodyText"/>
      </w:pPr>
      <w:r>
        <w:t xml:space="preserve">D’abord, l’enjeu économique : qui va payer le coût des règles ? Les géants américains veulent réguler les usages, pas les modèles. Les start-up européennes craignent que seuls les géants puissent suivre. L’open source demande une exemption, et les PME qui utilisent ces modèles veulent de la transparence.</w:t>
      </w:r>
    </w:p>
    <w:p>
      <w:pPr>
        <w:pStyle w:val="BodyText"/>
      </w:pPr>
      <w:r>
        <w:t xml:space="preserve">Deuxième enjeu, politique : l’Europe peut-elle avoir ses propres champions ? La France, l’Allemagne et l’Italie veulent protéger leurs start-up. Macron l’a résumé en décembre 2023 : « On régulera des choses qu’on ne produira plus. »</w:t>
      </w:r>
    </w:p>
    <w:p>
      <w:pPr>
        <w:pStyle w:val="BodyText"/>
      </w:pPr>
      <w:r>
        <w:t xml:space="preserve">Troisième enjeu, social et environnemental : protéger les citoyens contre la désinformation, protéger les créateurs, et connaître l’impact énergétique de l’IA.</w:t>
      </w:r>
    </w:p>
    <w:p>
      <w:pPr>
        <w:pStyle w:val="BodyText"/>
      </w:pPr>
      <w:r>
        <w:t xml:space="preserve">Enfin, la réputation : l’UE veut être la première au monde à réguler l’IA, et Mistral veut apparaître comme le champion européen.</w:t>
      </w:r>
    </w:p>
    <w:p>
      <w:pPr>
        <w:pStyle w:val="BodyText"/>
      </w:pPr>
      <w:r>
        <w:t xml:space="preserve">Alors, qui sont ces acteurs, et que défend chacun ? Aude va vous les présenter.</w:t>
      </w:r>
    </w:p>
    <w:bookmarkEnd w:id="22"/>
    <w:bookmarkStart w:id="23" w:name="slide-3-acteurs-aude"/>
    <w:p>
      <w:pPr>
        <w:pStyle w:val="Heading3"/>
      </w:pPr>
      <w:r>
        <w:t xml:space="preserve">Slide 3 – Acteurs – Aude</w:t>
      </w:r>
    </w:p>
    <w:p>
      <w:pPr>
        <w:pStyle w:val="FirstParagraph"/>
      </w:pPr>
      <w:r>
        <w:t xml:space="preserve">Merci Zhiying. Sur cette slide, il y a deux camps, et au milieu, ceux qui décident.</w:t>
      </w:r>
    </w:p>
    <w:p>
      <w:pPr>
        <w:pStyle w:val="BodyText"/>
      </w:pPr>
      <w:r>
        <w:t xml:space="preserve">Au centre, le trilogue. La Commission, avec la présidence espagnole du Conseil, cherche un compromis : des règles pour tous, plus strictes pour les plus gros modèles. Au Conseil, la France, l’Allemagne et l’Italie veulent que les entreprises s’autorégulent, pour protéger leurs champions nationaux. Le Parlement, lui, veut des obligations pour tous les grands modèles.</w:t>
      </w:r>
    </w:p>
    <w:p>
      <w:pPr>
        <w:pStyle w:val="BodyText"/>
      </w:pPr>
      <w:r>
        <w:t xml:space="preserve">À gauche, le camp des règles légères. Les géants de l’IA, comme OpenAI ou Google, veulent des règles sur les usages plutôt que sur les modèles, pour rester compétitifs. Les start-up européennes, comme Mistral AI et Aleph Alpha, veulent des obligations adaptées à leur taille.</w:t>
      </w:r>
    </w:p>
    <w:p>
      <w:pPr>
        <w:pStyle w:val="BodyText"/>
      </w:pPr>
      <w:r>
        <w:t xml:space="preserve">À droite, le camp des règles fortes : les créateurs, qui veulent protéger leurs œuvres ; les ONG, qui demandent des contrôles indépendants ; et les acteurs environnementaux, qui veulent connaître la consommation d’énergie des modèles.</w:t>
      </w:r>
    </w:p>
    <w:p>
      <w:pPr>
        <w:pStyle w:val="BodyText"/>
      </w:pPr>
      <w:r>
        <w:t xml:space="preserve">Enfin, les flèches montrent par où chacun essaie de peser : les géants passent par la Commission, les start-up par leurs gouvernements, à Paris et à Berlin, et la société civile par le Parlement.</w:t>
      </w:r>
    </w:p>
    <w:p>
      <w:pPr>
        <w:pStyle w:val="BodyText"/>
      </w:pPr>
      <w:r>
        <w:t xml:space="preserve">Tania va maintenant vous montrer comment ces actions se sont déroulées.</w:t>
      </w:r>
    </w:p>
    <w:bookmarkEnd w:id="23"/>
    <w:bookmarkStart w:id="24" w:name="slide-4-déroulé-tania"/>
    <w:p>
      <w:pPr>
        <w:pStyle w:val="Heading3"/>
      </w:pPr>
      <w:r>
        <w:t xml:space="preserve">Slide 4 – Déroulé – Tania</w:t>
      </w:r>
    </w:p>
    <w:p>
      <w:pPr>
        <w:pStyle w:val="FirstParagraph"/>
      </w:pPr>
      <w:r>
        <w:t xml:space="preserve">Voici cinq traces concrètes d’influence.</w:t>
      </w:r>
    </w:p>
    <w:p>
      <w:pPr>
        <w:pStyle w:val="BodyText"/>
      </w:pPr>
      <w:r>
        <w:t xml:space="preserve">Premièrement, OpenAI. En juin 2022, trois représentants d’OpenAI rencontrent la Commission. En septembre, l’entreprise envoie un livre blanc : ses modèles ne doivent pas être classés « à haut risque ». Pourtant, en public, Sam Altman appelle à réguler l’IA.</w:t>
      </w:r>
    </w:p>
    <w:p>
      <w:pPr>
        <w:pStyle w:val="BodyText"/>
      </w:pPr>
      <w:r>
        <w:t xml:space="preserve">Deuxièmement, en juin 2023, juste après le vote du Parlement, plus de 150 dirigeants d’entreprises signent une lettre ouverte. Elle est lancée notamment par Cédric O, ancien ministre français du Numérique devenu conseiller de Mistral AI. Selon eux, des règles trop strictes mettraient en péril la compétitivité de l’Europe.</w:t>
      </w:r>
    </w:p>
    <w:p>
      <w:pPr>
        <w:pStyle w:val="BodyText"/>
      </w:pPr>
      <w:r>
        <w:t xml:space="preserve">Troisièmement, Aleph Alpha. Entre juin et novembre 2023, la start-up obtient douze rendez-vous avec le gouvernement allemand. Selon l’ONG LobbyControl, ses arguments se retrouvent ensuite dans le discours des ministres allemands.</w:t>
      </w:r>
    </w:p>
    <w:p>
      <w:pPr>
        <w:pStyle w:val="BodyText"/>
      </w:pPr>
      <w:r>
        <w:t xml:space="preserve">Quatrièmement, les États prennent le relais. Le 30 octobre, à Rome, les ministres de l’Économie français, allemand et italien plaident pour réguler les usages de l’IA, pas la technologie. Puis, le 18 novembre, les trois pays publient un texte commun : pas d’obligations pour les modèles, mais une « autorégulation obligatoire ».</w:t>
      </w:r>
    </w:p>
    <w:p>
      <w:pPr>
        <w:pStyle w:val="BodyText"/>
      </w:pPr>
      <w:r>
        <w:t xml:space="preserve">Enfin, il y a une réaction. Le 28 novembre, des chercheurs, dont Yoshua Bengio et Geoffrey Hinton, écrivent au gouvernement allemand : exclure ces modèles de l’AI Act serait « un échec historique ».</w:t>
      </w:r>
    </w:p>
    <w:p>
      <w:pPr>
        <w:pStyle w:val="BodyText"/>
      </w:pPr>
      <w:r>
        <w:t xml:space="preserve">Alors, comment cette bataille s’est-elle terminée ? Nhi va vous présenter le résultat.</w:t>
      </w:r>
    </w:p>
    <w:bookmarkEnd w:id="24"/>
    <w:bookmarkStart w:id="25" w:name="slide-5-résultat-tous"/>
    <w:p>
      <w:pPr>
        <w:pStyle w:val="Heading3"/>
      </w:pPr>
      <w:r>
        <w:t xml:space="preserve">Slide 5 – Résultat – tous</w:t>
      </w:r>
    </w:p>
    <w:p>
      <w:pPr>
        <w:pStyle w:val="FirstParagraph"/>
      </w:pPr>
      <w:r>
        <w:rPr>
          <w:bCs/>
          <w:b/>
        </w:rPr>
        <w:t xml:space="preserve">NHI :</w:t>
      </w:r>
      <w:r>
        <w:t xml:space="preserve"> </w:t>
      </w:r>
      <w:r>
        <w:t xml:space="preserve">Voyons maintenant le résultat. La décision finale, c’est le chapitre V de l’AI Act, avec deux niveaux de règles. Premier niveau : tous les grands modèles doivent être transparents, par exemple publier un résumé de leurs données d’entraînement et respecter le droit d’auteur. Deuxième niveau : les modèles les plus puissants ont des obligations renforcées, comme des tests et une gestion des risques. Et l’open source est en partie exempté.</w:t>
      </w:r>
    </w:p>
    <w:p>
      <w:pPr>
        <w:pStyle w:val="BodyText"/>
      </w:pPr>
      <w:r>
        <w:rPr>
          <w:bCs/>
          <w:b/>
        </w:rPr>
        <w:t xml:space="preserve">ZHIYING :</w:t>
      </w:r>
      <w:r>
        <w:t xml:space="preserve"> </w:t>
      </w:r>
      <w:r>
        <w:t xml:space="preserve">Qui a obtenu quoi ? Le Parlement a obtenu une loi obligatoire, avec des amendes. La France, l’Allemagne et leurs start-up ont obtenu des règles plus légères pour la plupart des modèles, mais pas l’autorégulation. Les géants américains, eux, évitent le classement « à haut risque ». Le compromis, ce sont ces deux niveaux de règles.</w:t>
      </w:r>
    </w:p>
    <w:p>
      <w:pPr>
        <w:pStyle w:val="BodyText"/>
      </w:pPr>
      <w:r>
        <w:rPr>
          <w:bCs/>
          <w:b/>
        </w:rPr>
        <w:t xml:space="preserve">AUDE :</w:t>
      </w:r>
      <w:r>
        <w:t xml:space="preserve"> </w:t>
      </w:r>
      <w:r>
        <w:t xml:space="preserve">Que nous apprend ce cas ? Les acteurs ont utilisé des méthodes variées : rendez-vous, livre blanc, lettre ouverte, coalition d’États. La plus efficace a été de passer par les gouvernements, avec l’argument de la souveraineté européenne. Mais le lobbying a ses limites : la loi a quand même été adoptée. Et une trace d’influence n’est pas une preuve.</w:t>
      </w:r>
    </w:p>
    <w:p>
      <w:pPr>
        <w:pStyle w:val="BodyText"/>
      </w:pPr>
      <w:r>
        <w:rPr>
          <w:bCs/>
          <w:b/>
        </w:rPr>
        <w:t xml:space="preserve">TANIA :</w:t>
      </w:r>
      <w:r>
        <w:t xml:space="preserve"> </w:t>
      </w:r>
      <w:r>
        <w:t xml:space="preserve">Pour conclure, et pour répondre à notre question : ce sont les start-up européennes et leurs gouvernements qui ont le plus pesé. Ils ont rendu les règles plus légères, sans pouvoir les empêcher. Merci de votre attention.</w:t>
      </w:r>
    </w:p>
    <w:bookmarkEnd w:id="25"/>
    <w:bookmarkEnd w:id="26"/>
    <w:bookmarkStart w:id="33" w:name="bản-tiếng-việt"/>
    <w:p>
      <w:pPr>
        <w:pStyle w:val="Heading2"/>
      </w:pPr>
      <w:r>
        <w:t xml:space="preserve">Bản tiếng Việt</w:t>
      </w:r>
    </w:p>
    <w:bookmarkStart w:id="27" w:name="mở-đầu-aude"/>
    <w:p>
      <w:pPr>
        <w:pStyle w:val="Heading3"/>
      </w:pPr>
      <w:r>
        <w:t xml:space="preserve">Mở đầu – Aude</w:t>
      </w:r>
    </w:p>
    <w:p>
      <w:pPr>
        <w:pStyle w:val="FirstParagraph"/>
      </w:pPr>
      <w:r>
        <w:t xml:space="preserve">Xin chào mọi người. Đề tài của nhóm là AI tạo sinh: cuộc chiến xoay quanh các quy định áp dụng cho các mô hình AI lớn. Câu hỏi của nhóm là: ai đã tác động được lên các quy định này, và bằng cách nào? Chúng tôi sẽ lần lượt trình bày bối cảnh, các thách thức, các bên liên quan, diễn biến cuộc chiến và cuối cùng là kết quả. Nhi sẽ bắt đầu với phần bối cảnh.</w:t>
      </w:r>
    </w:p>
    <w:bookmarkEnd w:id="27"/>
    <w:bookmarkStart w:id="28" w:name="slide-1-bối-cảnh-quyết-định-công-nhi"/>
    <w:p>
      <w:pPr>
        <w:pStyle w:val="Heading3"/>
      </w:pPr>
      <w:r>
        <w:t xml:space="preserve">Slide 1 – Bối cảnh &amp; quyết định công – Nhi</w:t>
      </w:r>
    </w:p>
    <w:p>
      <w:pPr>
        <w:pStyle w:val="FirstParagraph"/>
      </w:pPr>
      <w:r>
        <w:t xml:space="preserve">Ngày 30/11/2022, OpenAI ra mắt ChatGPT. Chỉ trong hai tháng, nó đạt khoảng 100 triệu người dùng. Đằng sau ChatGPT là một</w:t>
      </w:r>
      <w:r>
        <w:t xml:space="preserve"> </w:t>
      </w:r>
      <w:r>
        <w:t xml:space="preserve">“</w:t>
      </w:r>
      <w:r>
        <w:t xml:space="preserve">mô hình AI đa dụng</w:t>
      </w:r>
      <w:r>
        <w:t xml:space="preserve">”</w:t>
      </w:r>
      <w:r>
        <w:t xml:space="preserve"> </w:t>
      </w:r>
      <w:r>
        <w:t xml:space="preserve">(GPAI): một mô hình duy nhất làm nền cho hàng nghìn ứng dụng. Và thị trường này do các tập đoàn Mỹ thống trị.</w:t>
      </w:r>
    </w:p>
    <w:p>
      <w:pPr>
        <w:pStyle w:val="BodyText"/>
      </w:pPr>
      <w:r>
        <w:t xml:space="preserve">Điều đó đặt ra một vấn đề công. Năm 2021, Ủy ban đề xuất quản lý AI theo cách sử dụng: cách dùng càng rủi ro thì luật càng chặt. Nhưng mô hình đa dụng không chỉ có một cách dùng, nên nó lọt ra ngoài khung này. Trong khi đó, nó tạo ra rủi ro mới: tin giả, vi phạm bản quyền, thiếu minh bạch, rủi ro hệ thống. Vì vậy câu hỏi trung tâm là: nên quản lý bản thân mô hình, hay chỉ quản lý cách sử dụng nó?</w:t>
      </w:r>
    </w:p>
    <w:p>
      <w:pPr>
        <w:pStyle w:val="BodyText"/>
      </w:pPr>
      <w:r>
        <w:t xml:space="preserve">Quyết định công là AI Act, quy định 2024/1689, cụ thể là chương V. Vì là một</w:t>
      </w:r>
      <w:r>
        <w:t xml:space="preserve"> </w:t>
      </w:r>
      <w:r>
        <w:t xml:space="preserve">“</w:t>
      </w:r>
      <w:r>
        <w:t xml:space="preserve">règlement</w:t>
      </w:r>
      <w:r>
        <w:t xml:space="preserve">”</w:t>
      </w:r>
      <w:r>
        <w:t xml:space="preserve">, nó áp dụng trực tiếp tại 27 nước thành viên.</w:t>
      </w:r>
    </w:p>
    <w:p>
      <w:pPr>
        <w:pStyle w:val="BodyText"/>
      </w:pPr>
      <w:r>
        <w:t xml:space="preserve">Ai quyết định và khi nào? Ủy ban đề xuất văn bản vào tháng 4/2021. Sau đó Nghị viện và Hội đồng đàm phán trong các</w:t>
      </w:r>
      <w:r>
        <w:t xml:space="preserve"> </w:t>
      </w:r>
      <w:r>
        <w:t xml:space="preserve">“</w:t>
      </w:r>
      <w:r>
        <w:t xml:space="preserve">trilogue</w:t>
      </w:r>
      <w:r>
        <w:t xml:space="preserve">”</w:t>
      </w:r>
      <w:r>
        <w:t xml:space="preserve">. Thời điểm then chốt là ngày 8/12/2023: thỏa thuận chính trị. Văn bản được thông qua năm 2024, và các quy định cho những mô hình này áp dụng từ ngày 2/8/2025.</w:t>
      </w:r>
    </w:p>
    <w:p>
      <w:pPr>
        <w:pStyle w:val="BodyText"/>
      </w:pPr>
      <w:r>
        <w:t xml:space="preserve">Vậy cuộc chiến diễn ra từ 2021 đến cuối 2023. Zhiying sẽ trình bày các thách thức.</w:t>
      </w:r>
    </w:p>
    <w:bookmarkEnd w:id="28"/>
    <w:bookmarkStart w:id="29" w:name="slide-2-thách-thức-zhiying"/>
    <w:p>
      <w:pPr>
        <w:pStyle w:val="Heading3"/>
      </w:pPr>
      <w:r>
        <w:t xml:space="preserve">Slide 2 – Thách thức – Zhiying</w:t>
      </w:r>
    </w:p>
    <w:p>
      <w:pPr>
        <w:pStyle w:val="FirstParagraph"/>
      </w:pPr>
      <w:r>
        <w:t xml:space="preserve">Đằng sau lời nói về</w:t>
      </w:r>
      <w:r>
        <w:t xml:space="preserve"> </w:t>
      </w:r>
      <w:r>
        <w:t xml:space="preserve">“</w:t>
      </w:r>
      <w:r>
        <w:t xml:space="preserve">AI có đạo đức</w:t>
      </w:r>
      <w:r>
        <w:t xml:space="preserve">”</w:t>
      </w:r>
      <w:r>
        <w:t xml:space="preserve"> </w:t>
      </w:r>
      <w:r>
        <w:t xml:space="preserve">thực chất là một cuộc chiến lợi ích. Chúng tôi thấy có bốn thách thức.</w:t>
      </w:r>
    </w:p>
    <w:p>
      <w:pPr>
        <w:pStyle w:val="BodyText"/>
      </w:pPr>
      <w:r>
        <w:t xml:space="preserve">Trước hết là kinh tế: ai sẽ trả chi phí của luật? Các tập đoàn Mỹ muốn quản lý cách dùng, không quản lý mô hình. Start-up châu Âu lo rằng chỉ các tập đoàn lớn mới theo kịp. Phe mã nguồn mở đòi được miễn trừ, còn các doanh nghiệp nhỏ dùng các mô hình này muốn minh bạch.</w:t>
      </w:r>
    </w:p>
    <w:p>
      <w:pPr>
        <w:pStyle w:val="BodyText"/>
      </w:pPr>
      <w:r>
        <w:t xml:space="preserve">Thứ hai là chính trị: châu Âu có thể có</w:t>
      </w:r>
      <w:r>
        <w:t xml:space="preserve"> </w:t>
      </w:r>
      <w:r>
        <w:t xml:space="preserve">“</w:t>
      </w:r>
      <w:r>
        <w:t xml:space="preserve">nhà vô địch</w:t>
      </w:r>
      <w:r>
        <w:t xml:space="preserve">”</w:t>
      </w:r>
      <w:r>
        <w:t xml:space="preserve"> </w:t>
      </w:r>
      <w:r>
        <w:t xml:space="preserve">của riêng mình không? Pháp, Đức, Ý muốn bảo vệ start-up của họ. Macron tóm lại vào tháng 12/2023:</w:t>
      </w:r>
      <w:r>
        <w:t xml:space="preserve"> </w:t>
      </w:r>
      <w:r>
        <w:t xml:space="preserve">“</w:t>
      </w:r>
      <w:r>
        <w:t xml:space="preserve">Chúng ta sẽ quản lý những thứ mà mình không còn sản xuất nữa.</w:t>
      </w:r>
      <w:r>
        <w:t xml:space="preserve">”</w:t>
      </w:r>
    </w:p>
    <w:p>
      <w:pPr>
        <w:pStyle w:val="BodyText"/>
      </w:pPr>
      <w:r>
        <w:t xml:space="preserve">Thứ ba là xã hội và môi trường: bảo vệ người dân khỏi tin giả, bảo vệ giới sáng tạo, và biết được tác động năng lượng của AI.</w:t>
      </w:r>
    </w:p>
    <w:p>
      <w:pPr>
        <w:pStyle w:val="BodyText"/>
      </w:pPr>
      <w:r>
        <w:t xml:space="preserve">Cuối cùng là danh tiếng: EU muốn là nơi đầu tiên trên thế giới quản lý AI, còn Mistral muốn được xem là nhà vô địch của châu Âu.</w:t>
      </w:r>
    </w:p>
    <w:p>
      <w:pPr>
        <w:pStyle w:val="BodyText"/>
      </w:pPr>
      <w:r>
        <w:t xml:space="preserve">Vậy các bên là ai, và mỗi bên bảo vệ điều gì? Aude sẽ giới thiệu.</w:t>
      </w:r>
    </w:p>
    <w:bookmarkEnd w:id="29"/>
    <w:bookmarkStart w:id="30" w:name="slide-3-các-bên-aude"/>
    <w:p>
      <w:pPr>
        <w:pStyle w:val="Heading3"/>
      </w:pPr>
      <w:r>
        <w:t xml:space="preserve">Slide 3 – Các bên – Aude</w:t>
      </w:r>
    </w:p>
    <w:p>
      <w:pPr>
        <w:pStyle w:val="FirstParagraph"/>
      </w:pPr>
      <w:r>
        <w:t xml:space="preserve">Cảm ơn Zhiying. Trên slide này có hai phe, và ở giữa là những người ra quyết định.</w:t>
      </w:r>
    </w:p>
    <w:p>
      <w:pPr>
        <w:pStyle w:val="BodyText"/>
      </w:pPr>
      <w:r>
        <w:t xml:space="preserve">Ở giữa là trilogue. Ủy ban, cùng chủ tịch luân phiên Tây Ban Nha của Hội đồng, tìm thỏa hiệp: luật cho tất cả, chặt hơn với các mô hình lớn nhất. Trong Hội đồng, Pháp, Đức và Ý muốn các công ty tự điều chỉnh, để bảo vệ doanh nghiệp nước mình. Còn Nghị viện muốn ràng buộc mọi mô hình lớn.</w:t>
      </w:r>
    </w:p>
    <w:p>
      <w:pPr>
        <w:pStyle w:val="BodyText"/>
      </w:pPr>
      <w:r>
        <w:t xml:space="preserve">Bên trái là phe luật nhẹ. Các tập đoàn AI như OpenAI hay Google muốn luật áp lên cách dùng chứ không áp lên mô hình, để giữ sức cạnh tranh. Các start-up châu Âu như Mistral AI và Aleph Alpha muốn nghĩa vụ vừa với quy mô của mình.</w:t>
      </w:r>
    </w:p>
    <w:p>
      <w:pPr>
        <w:pStyle w:val="BodyText"/>
      </w:pPr>
      <w:r>
        <w:t xml:space="preserve">Bên phải là phe luật chặt: giới sáng tạo muốn bảo vệ tác phẩm; các ONG đòi kiểm tra độc lập; các nhóm môi trường muốn biết mức tiêu thụ năng lượng của mô hình.</w:t>
      </w:r>
    </w:p>
    <w:p>
      <w:pPr>
        <w:pStyle w:val="BodyText"/>
      </w:pPr>
      <w:r>
        <w:t xml:space="preserve">Cuối cùng, các mũi tên cho thấy mỗi bên tác động qua đâu: tập đoàn qua Ủy ban, start-up qua chính phủ nước mình ở Paris và Berlin, xã hội dân sự qua Nghị viện.</w:t>
      </w:r>
    </w:p>
    <w:p>
      <w:pPr>
        <w:pStyle w:val="BodyText"/>
      </w:pPr>
      <w:r>
        <w:t xml:space="preserve">Bây giờ Tania sẽ cho thấy các hành động này diễn ra thế nào.</w:t>
      </w:r>
    </w:p>
    <w:bookmarkEnd w:id="30"/>
    <w:bookmarkStart w:id="31" w:name="slide-4-diễn-biến-tania"/>
    <w:p>
      <w:pPr>
        <w:pStyle w:val="Heading3"/>
      </w:pPr>
      <w:r>
        <w:t xml:space="preserve">Slide 4 – Diễn biến – Tania</w:t>
      </w:r>
    </w:p>
    <w:p>
      <w:pPr>
        <w:pStyle w:val="FirstParagraph"/>
      </w:pPr>
      <w:r>
        <w:t xml:space="preserve">Đây là năm dấu vết cụ thể của hoạt động gây ảnh hưởng.</w:t>
      </w:r>
    </w:p>
    <w:p>
      <w:pPr>
        <w:pStyle w:val="BodyText"/>
      </w:pPr>
      <w:r>
        <w:t xml:space="preserve">Thứ nhất, OpenAI. Tháng 6/2022, ba đại diện của OpenAI gặp Ủy ban. Tháng 9, công ty gửi một sách trắng: các mô hình của họ không nên bị xếp vào nhóm</w:t>
      </w:r>
      <w:r>
        <w:t xml:space="preserve"> </w:t>
      </w:r>
      <w:r>
        <w:t xml:space="preserve">“</w:t>
      </w:r>
      <w:r>
        <w:t xml:space="preserve">rủi ro cao</w:t>
      </w:r>
      <w:r>
        <w:t xml:space="preserve">”</w:t>
      </w:r>
      <w:r>
        <w:t xml:space="preserve">. Trong khi đó, trước công chúng, Sam Altman lại kêu gọi quản lý AI.</w:t>
      </w:r>
    </w:p>
    <w:p>
      <w:pPr>
        <w:pStyle w:val="BodyText"/>
      </w:pPr>
      <w:r>
        <w:t xml:space="preserve">Thứ hai, tháng 6/2023, ngay sau cuộc bỏ phiếu của Nghị viện, hơn 150 lãnh đạo doanh nghiệp ký một thư ngỏ. Một trong những người khởi xướng là Cédric O, cựu bộ trưởng Kỹ thuật số Pháp, nay là cố vấn của Mistral AI. Theo họ, luật quá chặt sẽ đe dọa sức cạnh tranh của châu Âu.</w:t>
      </w:r>
    </w:p>
    <w:p>
      <w:pPr>
        <w:pStyle w:val="BodyText"/>
      </w:pPr>
      <w:r>
        <w:t xml:space="preserve">Thứ ba, Aleph Alpha. Từ tháng 6 đến tháng 11/2023, start-up này có 12 cuộc gặp với chính phủ Đức. Theo tổ chức LobbyControl, lập luận của họ sau đó xuất hiện trong phát ngôn của các bộ trưởng Đức.</w:t>
      </w:r>
    </w:p>
    <w:p>
      <w:pPr>
        <w:pStyle w:val="BodyText"/>
      </w:pPr>
      <w:r>
        <w:t xml:space="preserve">Thứ tư, các nhà nước vào cuộc. Ngày 30/10 ở Rome, các bộ trưởng Kinh tế Pháp, Đức, Ý kêu gọi quản lý cách dùng AI, không quản lý công nghệ. Rồi ngày 18/11, ba nước công bố văn bản chung: không có nghĩa vụ cho các mô hình, mà là</w:t>
      </w:r>
      <w:r>
        <w:t xml:space="preserve"> </w:t>
      </w:r>
      <w:r>
        <w:t xml:space="preserve">“</w:t>
      </w:r>
      <w:r>
        <w:t xml:space="preserve">tự điều chỉnh bắt buộc</w:t>
      </w:r>
      <w:r>
        <w:t xml:space="preserve">”</w:t>
      </w:r>
      <w:r>
        <w:t xml:space="preserve">.</w:t>
      </w:r>
    </w:p>
    <w:p>
      <w:pPr>
        <w:pStyle w:val="BodyText"/>
      </w:pPr>
      <w:r>
        <w:t xml:space="preserve">Cuối cùng là phản ứng. Ngày 28/11, các nhà nghiên cứu, trong đó có Yoshua Bengio và Geoffrey Hinton, viết thư cho chính phủ Đức: loại các mô hình này ra khỏi AI Act sẽ là</w:t>
      </w:r>
      <w:r>
        <w:t xml:space="preserve"> </w:t>
      </w:r>
      <w:r>
        <w:t xml:space="preserve">“</w:t>
      </w:r>
      <w:r>
        <w:t xml:space="preserve">một thất bại lịch sử</w:t>
      </w:r>
      <w:r>
        <w:t xml:space="preserve">”</w:t>
      </w:r>
      <w:r>
        <w:t xml:space="preserve">.</w:t>
      </w:r>
    </w:p>
    <w:p>
      <w:pPr>
        <w:pStyle w:val="BodyText"/>
      </w:pPr>
      <w:r>
        <w:t xml:space="preserve">Vậy cuộc chiến kết thúc thế nào? Nhi sẽ trình bày kết quả.</w:t>
      </w:r>
    </w:p>
    <w:bookmarkEnd w:id="31"/>
    <w:bookmarkStart w:id="32" w:name="slide-5-kết-quả-cả-nhóm"/>
    <w:p>
      <w:pPr>
        <w:pStyle w:val="Heading3"/>
      </w:pPr>
      <w:r>
        <w:t xml:space="preserve">Slide 5 – Kết quả – cả nhóm</w:t>
      </w:r>
    </w:p>
    <w:p>
      <w:pPr>
        <w:pStyle w:val="FirstParagraph"/>
      </w:pPr>
      <w:r>
        <w:rPr>
          <w:bCs/>
          <w:b/>
        </w:rPr>
        <w:t xml:space="preserve">NHI:</w:t>
      </w:r>
      <w:r>
        <w:t xml:space="preserve"> </w:t>
      </w:r>
      <w:r>
        <w:t xml:space="preserve">Giờ chúng ta xem kết quả. Quyết định cuối cùng là chương V của AI Act, với hai cấp độ quy định. Cấp một: mọi mô hình lớn phải minh bạch, ví dụ công bố bản tóm tắt dữ liệu huấn luyện và tôn trọng bản quyền. Cấp hai: các mô hình mạnh nhất có nghĩa vụ cao hơn, như kiểm thử và quản lý rủi ro. Và mã nguồn mở được miễn một phần.</w:t>
      </w:r>
    </w:p>
    <w:p>
      <w:pPr>
        <w:pStyle w:val="BodyText"/>
      </w:pPr>
      <w:r>
        <w:rPr>
          <w:bCs/>
          <w:b/>
        </w:rPr>
        <w:t xml:space="preserve">ZHIYING:</w:t>
      </w:r>
      <w:r>
        <w:t xml:space="preserve"> </w:t>
      </w:r>
      <w:r>
        <w:t xml:space="preserve">Ai được gì? Nghị viện có được một đạo luật bắt buộc, kèm tiền phạt. Pháp, Đức và các start-up của họ có được luật nhẹ hơn cho phần lớn mô hình, nhưng không có cơ chế tự điều chỉnh. Các tập đoàn Mỹ thì tránh được việc bị xếp</w:t>
      </w:r>
      <w:r>
        <w:t xml:space="preserve"> </w:t>
      </w:r>
      <w:r>
        <w:t xml:space="preserve">“</w:t>
      </w:r>
      <w:r>
        <w:t xml:space="preserve">rủi ro cao</w:t>
      </w:r>
      <w:r>
        <w:t xml:space="preserve">”</w:t>
      </w:r>
      <w:r>
        <w:t xml:space="preserve">. Thỏa hiệp chính là hai cấp độ quy định này.</w:t>
      </w:r>
    </w:p>
    <w:p>
      <w:pPr>
        <w:pStyle w:val="BodyText"/>
      </w:pPr>
      <w:r>
        <w:rPr>
          <w:bCs/>
          <w:b/>
        </w:rPr>
        <w:t xml:space="preserve">AUDE:</w:t>
      </w:r>
      <w:r>
        <w:t xml:space="preserve"> </w:t>
      </w:r>
      <w:r>
        <w:t xml:space="preserve">Trường hợp này dạy chúng ta điều gì? Các bên dùng nhiều phương pháp: gặp gỡ, sách trắng, thư ngỏ, liên minh các nước. Hiệu quả nhất là đi qua các chính phủ, với lập luận về chủ quyền châu Âu. Nhưng lobbying có giới hạn: luật vẫn được thông qua. Và một dấu vết ảnh hưởng chưa phải là bằng chứng.</w:t>
      </w:r>
    </w:p>
    <w:p>
      <w:pPr>
        <w:pStyle w:val="BodyText"/>
      </w:pPr>
      <w:r>
        <w:rPr>
          <w:bCs/>
          <w:b/>
        </w:rPr>
        <w:t xml:space="preserve">TANIA:</w:t>
      </w:r>
      <w:r>
        <w:t xml:space="preserve"> </w:t>
      </w:r>
      <w:r>
        <w:t xml:space="preserve">Để kết luận và trả lời câu hỏi của nhóm: các start-up châu Âu và chính phủ của họ là bên tác động mạnh nhất. Họ làm luật nhẹ đi, nhưng không thể ngăn được luật. Cảm ơn mọi người đã lắng nghe.</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2026-10-21T16:03:18Z</dcterms:created>
  <dcterms:modified xsi:type="dcterms:W3CDTF">2026-10-21T16:03:18Z</dcterms:modified>
</cp:coreProperties>
</file>

<file path=docProps/custom.xml><?xml version="1.0" encoding="utf-8"?>
<Properties xmlns="http://schemas.openxmlformats.org/officeDocument/2006/custom-properties" xmlns:vt="http://schemas.openxmlformats.org/officeDocument/2006/docPropsVTypes"/>
</file>