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Relecture</w:t>
      </w:r>
      <w:r>
        <w:t xml:space="preserve"> </w:t>
      </w:r>
      <w:r>
        <w:t xml:space="preserve">n°</w:t>
      </w:r>
      <w:r>
        <w:t xml:space="preserve"> </w:t>
      </w:r>
      <w:r>
        <w:t xml:space="preserve">2</w:t>
      </w:r>
      <w:r>
        <w:t xml:space="preserve"> </w:t>
      </w:r>
      <w:r>
        <w:t xml:space="preserve">—</w:t>
      </w:r>
      <w:r>
        <w:t xml:space="preserve"> </w:t>
      </w:r>
      <w:r>
        <w:t xml:space="preserve">Slides</w:t>
      </w:r>
      <w:r>
        <w:t xml:space="preserve"> </w:t>
      </w:r>
      <w:r>
        <w:t xml:space="preserve">du</w:t>
      </w:r>
      <w:r>
        <w:t xml:space="preserve"> </w:t>
      </w:r>
      <w:r>
        <w:t xml:space="preserve">sujet</w:t>
      </w:r>
      <w:r>
        <w:t xml:space="preserve"> </w:t>
      </w:r>
      <w:r>
        <w:t xml:space="preserve">11</w:t>
      </w:r>
    </w:p>
    <w:p>
      <w:pPr>
        <w:pStyle w:val="Subtitle"/>
      </w:pPr>
      <w:r>
        <w:t xml:space="preserve">IA</w:t>
      </w:r>
      <w:r>
        <w:t xml:space="preserve"> </w:t>
      </w:r>
      <w:r>
        <w:t xml:space="preserve">générative</w:t>
      </w:r>
      <w:r>
        <w:t xml:space="preserve"> </w:t>
      </w:r>
      <w:r>
        <w:t xml:space="preserve">:</w:t>
      </w:r>
      <w:r>
        <w:t xml:space="preserve"> </w:t>
      </w:r>
      <w:r>
        <w:t xml:space="preserve">la</w:t>
      </w:r>
      <w:r>
        <w:t xml:space="preserve"> </w:t>
      </w:r>
      <w:r>
        <w:t xml:space="preserve">bataille</w:t>
      </w:r>
      <w:r>
        <w:t xml:space="preserve"> </w:t>
      </w:r>
      <w:r>
        <w:t xml:space="preserve">autour</w:t>
      </w:r>
      <w:r>
        <w:t xml:space="preserve"> </w:t>
      </w:r>
      <w:r>
        <w:t xml:space="preserve">des</w:t>
      </w:r>
      <w:r>
        <w:t xml:space="preserve"> </w:t>
      </w:r>
      <w:r>
        <w:t xml:space="preserve">règles</w:t>
      </w:r>
      <w:r>
        <w:t xml:space="preserve"> </w:t>
      </w:r>
      <w:r>
        <w:t xml:space="preserve">applicables</w:t>
      </w:r>
      <w:r>
        <w:t xml:space="preserve"> </w:t>
      </w:r>
      <w:r>
        <w:t xml:space="preserve">aux</w:t>
      </w:r>
      <w:r>
        <w:t xml:space="preserve"> </w:t>
      </w:r>
      <w:r>
        <w:t xml:space="preserve">grands</w:t>
      </w:r>
      <w:r>
        <w:t xml:space="preserve"> </w:t>
      </w:r>
      <w:r>
        <w:t xml:space="preserve">modèles</w:t>
      </w:r>
      <w:r>
        <w:t xml:space="preserve"> </w:t>
      </w:r>
      <w:r>
        <w:t xml:space="preserve">d’IA</w:t>
      </w:r>
    </w:p>
    <w:p>
      <w:pPr>
        <w:pStyle w:val="FirstParagraph"/>
      </w:pPr>
      <w:r>
        <w:t xml:space="preserve">Cette relecture porte sur l’ensemble des slides (couverture + slides 1 à 5). La slide 5 n’est pas encore remplie, elle ne fait donc l’objet que d’une remarque rapide. La relecture a été faite avec l’aide d’une IA, puis vérifiée.</w:t>
      </w:r>
    </w:p>
    <w:p>
      <w:pPr>
        <w:pStyle w:val="BodyText"/>
      </w:pPr>
      <w:r>
        <w:rPr>
          <w:bCs/>
          <w:b/>
        </w:rPr>
        <w:t xml:space="preserve">Légende :</w:t>
      </w:r>
      <w:r>
        <w:t xml:space="preserve"> </w:t>
      </w:r>
      <w:r>
        <w:t xml:space="preserve">🔴 à corriger en priorité · 🟠 important · 🟡 à améliorer</w:t>
      </w:r>
    </w:p>
    <w:bookmarkStart w:id="20" w:name="bilan-rapide"/>
    <w:p>
      <w:pPr>
        <w:pStyle w:val="Heading1"/>
      </w:pPr>
      <w:r>
        <w:t xml:space="preserve">Bilan rapide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Slide</w:t>
            </w:r>
          </w:p>
        </w:tc>
        <w:tc>
          <w:tcPr/>
          <w:p>
            <w:pPr>
              <w:pStyle w:val="Compact"/>
              <w:jc w:val="left"/>
            </w:pPr>
            <w:r>
              <w:t xml:space="preserve">État</w:t>
            </w:r>
          </w:p>
        </w:tc>
        <w:tc>
          <w:tcPr/>
          <w:p>
            <w:pPr>
              <w:pStyle w:val="Compact"/>
              <w:jc w:val="left"/>
            </w:pPr>
            <w:r>
              <w:t xml:space="preserve">Priorité</w:t>
            </w:r>
          </w:p>
        </w:tc>
      </w:tr>
      <w:tr>
        <w:tc>
          <w:tcPr/>
          <w:p>
            <w:pPr>
              <w:pStyle w:val="Compact"/>
              <w:jc w:val="left"/>
            </w:pPr>
            <w:r>
              <w:t xml:space="preserve">Couverture</w:t>
            </w:r>
          </w:p>
        </w:tc>
        <w:tc>
          <w:tcPr/>
          <w:p>
            <w:pPr>
              <w:pStyle w:val="Compact"/>
              <w:jc w:val="left"/>
            </w:pPr>
            <w:r>
              <w:t xml:space="preserve">Claire et soignée</w:t>
            </w:r>
          </w:p>
        </w:tc>
        <w:tc>
          <w:tcPr/>
          <w:p>
            <w:pPr>
              <w:pStyle w:val="Compact"/>
              <w:jc w:val="left"/>
            </w:pPr>
            <w:r>
              <w:t xml:space="preserve">🟠 vérifier si elle compte dans les 5 slides</w:t>
            </w:r>
          </w:p>
        </w:tc>
      </w:tr>
      <w:tr>
        <w:tc>
          <w:tcPr/>
          <w:p>
            <w:pPr>
              <w:pStyle w:val="Compact"/>
              <w:jc w:val="left"/>
            </w:pPr>
            <w:r>
              <w:t xml:space="preserve">1. Contexte</w:t>
            </w:r>
          </w:p>
        </w:tc>
        <w:tc>
          <w:tcPr/>
          <w:p>
            <w:pPr>
              <w:pStyle w:val="Compact"/>
              <w:jc w:val="left"/>
            </w:pPr>
            <w:r>
              <w:t xml:space="preserve">Complète</w:t>
            </w:r>
          </w:p>
        </w:tc>
        <w:tc>
          <w:tcPr/>
          <w:p>
            <w:pPr>
              <w:pStyle w:val="Compact"/>
              <w:jc w:val="left"/>
            </w:pPr>
            <w:r>
              <w:t xml:space="preserve">🟡 détails</w:t>
            </w:r>
          </w:p>
        </w:tc>
      </w:tr>
      <w:tr>
        <w:tc>
          <w:tcPr/>
          <w:p>
            <w:pPr>
              <w:pStyle w:val="Compact"/>
              <w:jc w:val="left"/>
            </w:pPr>
            <w:r>
              <w:t xml:space="preserve">2. Enjeux</w:t>
            </w:r>
          </w:p>
        </w:tc>
        <w:tc>
          <w:tcPr/>
          <w:p>
            <w:pPr>
              <w:pStyle w:val="Compact"/>
              <w:jc w:val="left"/>
            </w:pPr>
            <w:r>
              <w:t xml:space="preserve">Nettement améliorée</w:t>
            </w:r>
          </w:p>
        </w:tc>
        <w:tc>
          <w:tcPr/>
          <w:p>
            <w:pPr>
              <w:pStyle w:val="Compact"/>
              <w:jc w:val="left"/>
            </w:pPr>
            <w:r>
              <w:t xml:space="preserve">🟠 quelques ajouts</w:t>
            </w:r>
          </w:p>
        </w:tc>
      </w:tr>
      <w:tr>
        <w:tc>
          <w:tcPr/>
          <w:p>
            <w:pPr>
              <w:pStyle w:val="Compact"/>
              <w:jc w:val="left"/>
            </w:pPr>
            <w:r>
              <w:t xml:space="preserve">3. Acteurs</w:t>
            </w:r>
          </w:p>
        </w:tc>
        <w:tc>
          <w:tcPr/>
          <w:p>
            <w:pPr>
              <w:pStyle w:val="Compact"/>
              <w:jc w:val="left"/>
            </w:pPr>
            <w:r>
              <w:t xml:space="preserve">Tableau clair, mais trop général : il manque les acteurs décisifs</w:t>
            </w:r>
          </w:p>
        </w:tc>
        <w:tc>
          <w:tcPr/>
          <w:p>
            <w:pPr>
              <w:pStyle w:val="Compact"/>
              <w:jc w:val="left"/>
            </w:pPr>
            <w:r>
              <w:t xml:space="preserve">🔴 à retravailler</w:t>
            </w:r>
          </w:p>
        </w:tc>
      </w:tr>
      <w:tr>
        <w:tc>
          <w:tcPr/>
          <w:p>
            <w:pPr>
              <w:pStyle w:val="Compact"/>
              <w:jc w:val="left"/>
            </w:pPr>
            <w:r>
              <w:t xml:space="preserve">4. Déroulé</w:t>
            </w:r>
          </w:p>
        </w:tc>
        <w:tc>
          <w:tcPr/>
          <w:p>
            <w:pPr>
              <w:pStyle w:val="Compact"/>
              <w:jc w:val="left"/>
            </w:pPr>
            <w:r>
              <w:t xml:space="preserve">Bonnes traces de lobbying, mais chronologie hors sujet et date erronée</w:t>
            </w:r>
          </w:p>
        </w:tc>
        <w:tc>
          <w:tcPr/>
          <w:p>
            <w:pPr>
              <w:pStyle w:val="Compact"/>
              <w:jc w:val="left"/>
            </w:pPr>
            <w:r>
              <w:t xml:space="preserve">🔴 à retravailler</w:t>
            </w:r>
          </w:p>
        </w:tc>
      </w:tr>
      <w:tr>
        <w:tc>
          <w:tcPr/>
          <w:p>
            <w:pPr>
              <w:pStyle w:val="Compact"/>
              <w:jc w:val="left"/>
            </w:pPr>
            <w:r>
              <w:t xml:space="preserve">5. Résultats</w:t>
            </w:r>
          </w:p>
        </w:tc>
        <w:tc>
          <w:tcPr/>
          <w:p>
            <w:pPr>
              <w:pStyle w:val="Compact"/>
              <w:jc w:val="left"/>
            </w:pPr>
            <w:r>
              <w:t xml:space="preserve">Le modèle (« Lorem ipsum ») est encore là</w:t>
            </w:r>
          </w:p>
        </w:tc>
        <w:tc>
          <w:tcPr/>
          <w:p>
            <w:pPr>
              <w:pStyle w:val="Compact"/>
              <w:jc w:val="left"/>
            </w:pPr>
            <w:r>
              <w:t xml:space="preserve">🔴 à remplir</w:t>
            </w:r>
          </w:p>
        </w:tc>
      </w:tr>
    </w:tbl>
    <w:bookmarkEnd w:id="20"/>
    <w:bookmarkStart w:id="21" w:name="points-généraux"/>
    <w:p>
      <w:pPr>
        <w:pStyle w:val="Heading1"/>
      </w:pPr>
      <w:r>
        <w:t xml:space="preserve">1. Points généraux</w:t>
      </w:r>
    </w:p>
    <w:p>
      <w:pPr>
        <w:pStyle w:val="FirstParagraph"/>
      </w:pPr>
      <w:r>
        <w:rPr>
          <w:bCs/>
          <w:b/>
        </w:rPr>
        <w:t xml:space="preserve">🔴 1.1. Une seule date pour l’accord politique.</w:t>
      </w:r>
      <w:r>
        <w:t xml:space="preserve"> </w:t>
      </w:r>
      <w:r>
        <w:t xml:space="preserve">La slide 1 indique « 08/12/2023 », la slide 4 « 9 DÉCEMBRE 2023 ». Le prof verra les deux à l’écran. La bonne date est le</w:t>
      </w:r>
      <w:r>
        <w:t xml:space="preserve"> </w:t>
      </w:r>
      <w:r>
        <w:rPr>
          <w:bCs/>
          <w:b/>
        </w:rPr>
        <w:t xml:space="preserve">8 décembre 2023</w:t>
      </w:r>
      <w:r>
        <w:t xml:space="preserve"> </w:t>
      </w:r>
      <w:r>
        <w:t xml:space="preserve">: l’accord a été conclu le vendredi soir, les communiqués officiels sont datés du 9.</w:t>
      </w:r>
    </w:p>
    <w:p>
      <w:pPr>
        <w:pStyle w:val="BodyText"/>
      </w:pPr>
      <w:r>
        <w:rPr>
          <w:bCs/>
          <w:b/>
        </w:rPr>
        <w:t xml:space="preserve">🟠 1.2. La couverture compte-t-elle ?</w:t>
      </w:r>
      <w:r>
        <w:t xml:space="preserve"> </w:t>
      </w:r>
      <w:r>
        <w:t xml:space="preserve">La consigne dit « 5 slides maximum ». Avec la couverture, nous en avons 6. Il faut demander au prof. S’il refuse, on peut mettre le titre et nos noms en haut de la slide 1.</w:t>
      </w:r>
    </w:p>
    <w:p>
      <w:pPr>
        <w:pStyle w:val="BodyText"/>
      </w:pPr>
      <w:r>
        <w:rPr>
          <w:bCs/>
          <w:b/>
        </w:rPr>
        <w:t xml:space="preserve">🟠 1.3. Les mêmes acteurs d’une slide à l’autre.</w:t>
      </w:r>
      <w:r>
        <w:t xml:space="preserve"> </w:t>
      </w:r>
      <w:r>
        <w:t xml:space="preserve">Les slides 2 et 4 montrent que la France et l’Allemagne ont joué un rôle décisif, mais la slide 3 ne les mentionne pas. Il faut aussi ajouter l’</w:t>
      </w:r>
      <w:r>
        <w:rPr>
          <w:bCs/>
          <w:b/>
        </w:rPr>
        <w:t xml:space="preserve">Italie</w:t>
      </w:r>
      <w:r>
        <w:t xml:space="preserve"> </w:t>
      </w:r>
      <w:r>
        <w:t xml:space="preserve">: le</w:t>
      </w:r>
      <w:r>
        <w:t xml:space="preserve"> </w:t>
      </w:r>
      <w:r>
        <w:rPr>
          <w:iCs/>
          <w:i/>
        </w:rPr>
        <w:t xml:space="preserve">non-paper</w:t>
      </w:r>
      <w:r>
        <w:t xml:space="preserve"> </w:t>
      </w:r>
      <w:r>
        <w:t xml:space="preserve">du 18 novembre 2023 a été signé par la France, l’Allemagne et l’Italie.</w:t>
      </w:r>
    </w:p>
    <w:p>
      <w:pPr>
        <w:pStyle w:val="BodyText"/>
      </w:pPr>
      <w:r>
        <w:rPr>
          <w:bCs/>
          <w:b/>
        </w:rPr>
        <w:t xml:space="preserve">🟠 1.4. Les sources.</w:t>
      </w:r>
      <w:r>
        <w:t xml:space="preserve"> </w:t>
      </w:r>
      <w:r>
        <w:t xml:space="preserve">Elles figurent sur les slides 1 et 2, mais pas sur les slides 3 et 4. Il faut ajouter une petite ligne de sources en bas de chacune.</w:t>
      </w:r>
    </w:p>
    <w:p>
      <w:pPr>
        <w:pStyle w:val="BodyText"/>
      </w:pPr>
      <w:r>
        <w:rPr>
          <w:bCs/>
          <w:b/>
        </w:rPr>
        <w:t xml:space="preserve">🟡 1.5. Harmoniser la forme.</w:t>
      </w:r>
    </w:p>
    <w:p>
      <w:pPr>
        <w:numPr>
          <w:ilvl w:val="0"/>
          <w:numId w:val="1001"/>
        </w:numPr>
        <w:pStyle w:val="Compact"/>
      </w:pPr>
      <w:r>
        <w:t xml:space="preserve">Le menu « RÉSULTATS » ne porte l’accent que sur la slide 1 : il faut le corriger sur toutes les slides.</w:t>
      </w:r>
    </w:p>
    <w:p>
      <w:pPr>
        <w:numPr>
          <w:ilvl w:val="0"/>
          <w:numId w:val="1001"/>
        </w:numPr>
        <w:pStyle w:val="Compact"/>
      </w:pPr>
      <w:r>
        <w:t xml:space="preserve">Les polices des titres et du texte changent d’une slide à l’autre.</w:t>
      </w:r>
    </w:p>
    <w:p>
      <w:pPr>
        <w:numPr>
          <w:ilvl w:val="0"/>
          <w:numId w:val="1001"/>
        </w:numPr>
        <w:pStyle w:val="Compact"/>
      </w:pPr>
      <w:r>
        <w:t xml:space="preserve">Les majuscules doivent être accentuées : DÉCEMBRE, AOÛT, ŒUVRE.</w:t>
      </w:r>
    </w:p>
    <w:p>
      <w:pPr>
        <w:pStyle w:val="FirstParagraph"/>
      </w:pPr>
      <w:r>
        <w:rPr>
          <w:bCs/>
          <w:b/>
        </w:rPr>
        <w:t xml:space="preserve">🟡 1.6. Le fil rouge.</w:t>
      </w:r>
      <w:r>
        <w:t xml:space="preserve"> </w:t>
      </w:r>
      <w:r>
        <w:t xml:space="preserve">La problématique (</w:t>
      </w:r>
      <w:r>
        <w:rPr>
          <w:iCs/>
          <w:i/>
        </w:rPr>
        <w:t xml:space="preserve">« Qui a réussi à peser sur les règles applicables aux grands modèles d’IA, et par quels moyens ? »</w:t>
      </w:r>
      <w:r>
        <w:t xml:space="preserve">) doit trouver sa réponse dans la slide 5.</w:t>
      </w:r>
    </w:p>
    <w:bookmarkEnd w:id="21"/>
    <w:bookmarkStart w:id="22" w:name="slide-1-contexte-nhi"/>
    <w:p>
      <w:pPr>
        <w:pStyle w:val="Heading1"/>
      </w:pPr>
      <w:r>
        <w:t xml:space="preserve">2. Slide 1 — Contexte (Nhi)</w:t>
      </w:r>
    </w:p>
    <w:p>
      <w:pPr>
        <w:pStyle w:val="FirstParagraph"/>
      </w:pPr>
      <w:r>
        <w:t xml:space="preserve">La slide est complète : problème public, décision et « Qui décide ? Quand ? ». Il reste deux détails :</w:t>
      </w:r>
    </w:p>
    <w:p>
      <w:pPr>
        <w:numPr>
          <w:ilvl w:val="0"/>
          <w:numId w:val="1002"/>
        </w:numPr>
        <w:pStyle w:val="Compact"/>
      </w:pPr>
      <w:r>
        <w:t xml:space="preserve">mettre en valeur la date du 08/12/2023 (autre couleur) ;</w:t>
      </w:r>
    </w:p>
    <w:p>
      <w:pPr>
        <w:numPr>
          <w:ilvl w:val="0"/>
          <w:numId w:val="1002"/>
        </w:numPr>
        <w:pStyle w:val="Compact"/>
      </w:pPr>
      <w:r>
        <w:t xml:space="preserve">remplacer « - moment clé » par « — moment clé ».</w:t>
      </w:r>
    </w:p>
    <w:bookmarkEnd w:id="22"/>
    <w:bookmarkStart w:id="23" w:name="slide-2-enjeux-zhiying"/>
    <w:p>
      <w:pPr>
        <w:pStyle w:val="Heading1"/>
      </w:pPr>
      <w:r>
        <w:t xml:space="preserve">3. Slide 2 — Enjeux (Zhiying)</w:t>
      </w:r>
    </w:p>
    <w:p>
      <w:pPr>
        <w:pStyle w:val="FirstParagraph"/>
      </w:pPr>
      <w:r>
        <w:rPr>
          <w:bCs/>
          <w:b/>
        </w:rPr>
        <w:t xml:space="preserve">Points forts :</w:t>
      </w:r>
      <w:r>
        <w:t xml:space="preserve"> </w:t>
      </w:r>
      <w:r>
        <w:t xml:space="preserve">les corrections ont été intégrées (Big Tech, open source, PME en aval, ayants droit, citation de Macron, sources). La slide est claire et facile à lire.</w:t>
      </w:r>
    </w:p>
    <w:p>
      <w:pPr>
        <w:pStyle w:val="BodyText"/>
      </w:pPr>
      <w:r>
        <w:rPr>
          <w:bCs/>
          <w:b/>
        </w:rPr>
        <w:t xml:space="preserve">🟠 3.1. Il manque l’intérêt des start-up européennes dans l’enjeu économique</w:t>
      </w:r>
      <w:r>
        <w:t xml:space="preserve">, alors que c’est le cœur de la bataille. Ajouter :</w:t>
      </w:r>
    </w:p>
    <w:p>
      <w:pPr>
        <w:pStyle w:val="BlockText"/>
      </w:pPr>
      <w:r>
        <w:t xml:space="preserve">« START-UP EUROPÉENNES (Mistral AI, Aleph Alpha) → obligations allégées »</w:t>
      </w:r>
    </w:p>
    <w:p>
      <w:pPr>
        <w:pStyle w:val="FirstParagraph"/>
      </w:pPr>
      <w:r>
        <w:rPr>
          <w:bCs/>
          <w:b/>
        </w:rPr>
        <w:t xml:space="preserve">🟠 3.2.</w:t>
      </w:r>
      <w:r>
        <w:t xml:space="preserve"> </w:t>
      </w:r>
      <w:r>
        <w:t xml:space="preserve">« ÉTATS (FR, DE) » → « ÉTATS (FR, DE, IT) ».</w:t>
      </w:r>
    </w:p>
    <w:p>
      <w:pPr>
        <w:pStyle w:val="BodyText"/>
      </w:pPr>
      <w:r>
        <w:rPr>
          <w:bCs/>
          <w:b/>
        </w:rPr>
        <w:t xml:space="preserve">🟡 3.3. La citation de Macron.</w:t>
      </w:r>
      <w:r>
        <w:t xml:space="preserve"> </w:t>
      </w:r>
      <w:r>
        <w:t xml:space="preserve">Ajouter la date : « (11 déc. 2023) ». On peut aussi citer la phrase entière : « On régulera des choses qu’on ne produira plus ou qu’on n’inventera pas. »</w:t>
      </w:r>
    </w:p>
    <w:p>
      <w:pPr>
        <w:pStyle w:val="BodyText"/>
      </w:pPr>
      <w:r>
        <w:rPr>
          <w:bCs/>
          <w:b/>
        </w:rPr>
        <w:t xml:space="preserve">🟡 3.4. La mise en page.</w:t>
      </w:r>
    </w:p>
    <w:p>
      <w:pPr>
        <w:numPr>
          <w:ilvl w:val="0"/>
          <w:numId w:val="1003"/>
        </w:numPr>
        <w:pStyle w:val="Compact"/>
      </w:pPr>
      <w:r>
        <w:t xml:space="preserve">Il y a un grand vide au centre de la slide, et les textes de gauche sont plus grands que ceux de droite. Une grille 2 × 2 avec la même taille de texte serait plus équilibrée.</w:t>
      </w:r>
    </w:p>
    <w:p>
      <w:pPr>
        <w:numPr>
          <w:ilvl w:val="0"/>
          <w:numId w:val="1003"/>
        </w:numPr>
        <w:pStyle w:val="Compact"/>
      </w:pPr>
      <w:r>
        <w:t xml:space="preserve">Le texte gris (« Coût de la conformité · concurrence ») est peu lisible sur le fond bleu : il faudrait l’éclaircir.</w:t>
      </w:r>
    </w:p>
    <w:bookmarkEnd w:id="23"/>
    <w:bookmarkStart w:id="24" w:name="slide-3-acteurs-aude"/>
    <w:p>
      <w:pPr>
        <w:pStyle w:val="Heading1"/>
      </w:pPr>
      <w:r>
        <w:t xml:space="preserve">4. Slide 3 — Acteurs (Aude)</w:t>
      </w:r>
    </w:p>
    <w:p>
      <w:pPr>
        <w:pStyle w:val="FirstParagraph"/>
      </w:pPr>
      <w:r>
        <w:rPr>
          <w:bCs/>
          <w:b/>
        </w:rPr>
        <w:t xml:space="preserve">Points forts :</w:t>
      </w:r>
      <w:r>
        <w:t xml:space="preserve"> </w:t>
      </w:r>
      <w:r>
        <w:t xml:space="preserve">le tableau est clair et lisible, les acteurs sont variés (créateurs, ONG, environnement), et il distingue ce que chacun demande de ce qu’il peut gagner.</w:t>
      </w:r>
    </w:p>
    <w:p>
      <w:pPr>
        <w:pStyle w:val="BodyText"/>
      </w:pPr>
      <w:r>
        <w:rPr>
          <w:bCs/>
          <w:b/>
        </w:rPr>
        <w:t xml:space="preserve">🔴 4.1. Les acteurs décisifs manquent : la France, l’Allemagne et l’Italie (au Conseil).</w:t>
      </w:r>
      <w:r>
        <w:t xml:space="preserve"> </w:t>
      </w:r>
      <w:r>
        <w:t xml:space="preserve">Ce sont eux qui ont bloqué la négociation en novembre 2023 avec leur</w:t>
      </w:r>
      <w:r>
        <w:t xml:space="preserve"> </w:t>
      </w:r>
      <w:r>
        <w:rPr>
          <w:iCs/>
          <w:i/>
        </w:rPr>
        <w:t xml:space="preserve">non-paper</w:t>
      </w:r>
      <w:r>
        <w:t xml:space="preserve">. Les slides 2 et 4 en parlent, mais pas la slide 3.</w:t>
      </w:r>
    </w:p>
    <w:p>
      <w:pPr>
        <w:pStyle w:val="BodyText"/>
      </w:pPr>
      <w:r>
        <w:rPr>
          <w:bCs/>
          <w:b/>
        </w:rPr>
        <w:t xml:space="preserve">🔴 4.2. La ligne « Union européenne » regroupe des acteurs qui se sont opposés.</w:t>
      </w:r>
      <w:r>
        <w:t xml:space="preserve"> </w:t>
      </w:r>
      <w:r>
        <w:t xml:space="preserve">Le Parlement voulait des règles contraignantes pour les modèles, alors que plusieurs États membres au Conseil voulaient de l’autorégulation. Les mettre dans la même case efface la bataille. Il faut séparer :</w:t>
      </w:r>
    </w:p>
    <w:p>
      <w:pPr>
        <w:numPr>
          <w:ilvl w:val="0"/>
          <w:numId w:val="1004"/>
        </w:numPr>
        <w:pStyle w:val="Compact"/>
      </w:pPr>
      <w:r>
        <w:t xml:space="preserve">le</w:t>
      </w:r>
      <w:r>
        <w:t xml:space="preserve"> </w:t>
      </w:r>
      <w:r>
        <w:rPr>
          <w:bCs/>
          <w:b/>
        </w:rPr>
        <w:t xml:space="preserve">Parlement</w:t>
      </w:r>
      <w:r>
        <w:t xml:space="preserve"> </w:t>
      </w:r>
      <w:r>
        <w:t xml:space="preserve">;</w:t>
      </w:r>
    </w:p>
    <w:p>
      <w:pPr>
        <w:numPr>
          <w:ilvl w:val="0"/>
          <w:numId w:val="1004"/>
        </w:numPr>
        <w:pStyle w:val="Compact"/>
      </w:pPr>
      <w:r>
        <w:t xml:space="preserve">la</w:t>
      </w:r>
      <w:r>
        <w:t xml:space="preserve"> </w:t>
      </w:r>
      <w:r>
        <w:rPr>
          <w:bCs/>
          <w:b/>
        </w:rPr>
        <w:t xml:space="preserve">Commission et la présidence espagnole du Conseil</w:t>
      </w:r>
      <w:r>
        <w:t xml:space="preserve">, qui ont cherché un compromis ;</w:t>
      </w:r>
    </w:p>
    <w:p>
      <w:pPr>
        <w:numPr>
          <w:ilvl w:val="0"/>
          <w:numId w:val="1004"/>
        </w:numPr>
        <w:pStyle w:val="Compact"/>
      </w:pPr>
      <w:r>
        <w:t xml:space="preserve">les</w:t>
      </w:r>
      <w:r>
        <w:t xml:space="preserve"> </w:t>
      </w:r>
      <w:r>
        <w:rPr>
          <w:bCs/>
          <w:b/>
        </w:rPr>
        <w:t xml:space="preserve">États membres</w:t>
      </w:r>
      <w:r>
        <w:t xml:space="preserve"> </w:t>
      </w:r>
      <w:r>
        <w:t xml:space="preserve">(FR, DE, IT).</w:t>
      </w:r>
    </w:p>
    <w:p>
      <w:pPr>
        <w:pStyle w:val="FirstParagraph"/>
      </w:pPr>
      <w:r>
        <w:rPr>
          <w:bCs/>
          <w:b/>
        </w:rPr>
        <w:t xml:space="preserve">🟠 4.3. Les positions sont trop générales</w:t>
      </w:r>
      <w:r>
        <w:t xml:space="preserve"> </w:t>
      </w:r>
      <w:r>
        <w:t xml:space="preserve">(« règles prévisibles et applicables », « obligations proportionnées »…). Le prof demande une « cartographie claire des positions ». Il faut donc la position de chacun sur la vraie question : réguler le modèle ou seulement ses usages ? Des règles contraignantes ou des codes de conduite ?</w:t>
      </w:r>
    </w:p>
    <w:p>
      <w:pPr>
        <w:pStyle w:val="BodyText"/>
      </w:pPr>
      <w:r>
        <w:rPr>
          <w:bCs/>
          <w:b/>
        </w:rPr>
        <w:t xml:space="preserve">🟠 4.4. « États-Unis &amp; Chine »</w:t>
      </w:r>
      <w:r>
        <w:t xml:space="preserve"> </w:t>
      </w:r>
      <w:r>
        <w:t xml:space="preserve">relèvent plutôt du contexte géopolitique que du lobbying à Bruxelles. Cette ligne peut être remplacée par les États membres (FR, DE, IT).</w:t>
      </w:r>
    </w:p>
    <w:p>
      <w:pPr>
        <w:pStyle w:val="BodyText"/>
      </w:pPr>
      <w:r>
        <w:rPr>
          <w:bCs/>
          <w:b/>
        </w:rPr>
        <w:t xml:space="preserve">🟠 4.5. Il manque :</w:t>
      </w:r>
    </w:p>
    <w:p>
      <w:pPr>
        <w:numPr>
          <w:ilvl w:val="0"/>
          <w:numId w:val="1005"/>
        </w:numPr>
        <w:pStyle w:val="Compact"/>
      </w:pPr>
      <w:r>
        <w:t xml:space="preserve">les</w:t>
      </w:r>
      <w:r>
        <w:t xml:space="preserve"> </w:t>
      </w:r>
      <w:r>
        <w:rPr>
          <w:bCs/>
          <w:b/>
        </w:rPr>
        <w:t xml:space="preserve">fédérations professionnelles</w:t>
      </w:r>
      <w:r>
        <w:t xml:space="preserve">, demandées par le prof : DigitalEurope, CCIA ;</w:t>
      </w:r>
    </w:p>
    <w:p>
      <w:pPr>
        <w:numPr>
          <w:ilvl w:val="0"/>
          <w:numId w:val="1005"/>
        </w:numPr>
        <w:pStyle w:val="Compact"/>
      </w:pPr>
      <w:r>
        <w:t xml:space="preserve">la</w:t>
      </w:r>
      <w:r>
        <w:t xml:space="preserve"> </w:t>
      </w:r>
      <w:r>
        <w:rPr>
          <w:bCs/>
          <w:b/>
        </w:rPr>
        <w:t xml:space="preserve">lettre ouverte de plus de 150 dirigeants européens</w:t>
      </w:r>
      <w:r>
        <w:t xml:space="preserve"> </w:t>
      </w:r>
      <w:r>
        <w:t xml:space="preserve">(30 juin 2023) ;</w:t>
      </w:r>
    </w:p>
    <w:p>
      <w:pPr>
        <w:numPr>
          <w:ilvl w:val="0"/>
          <w:numId w:val="1005"/>
        </w:numPr>
        <w:pStyle w:val="Compact"/>
      </w:pPr>
      <w:r>
        <w:t xml:space="preserve">des</w:t>
      </w:r>
      <w:r>
        <w:t xml:space="preserve"> </w:t>
      </w:r>
      <w:r>
        <w:rPr>
          <w:bCs/>
          <w:b/>
        </w:rPr>
        <w:t xml:space="preserve">noms</w:t>
      </w:r>
      <w:r>
        <w:t xml:space="preserve"> </w:t>
      </w:r>
      <w:r>
        <w:t xml:space="preserve">: Mistral AI (Arthur Mensch, Cédric O), Aleph Alpha (Jonas Andrulis), Parlement (Brando Benifei, Dragoș Tudorache), Commission (Thierry Breton).</w:t>
      </w:r>
    </w:p>
    <w:p>
      <w:pPr>
        <w:pStyle w:val="FirstParagraph"/>
      </w:pPr>
      <w:r>
        <w:rPr>
          <w:bCs/>
          <w:b/>
        </w:rPr>
        <w:t xml:space="preserve">🟠 4.6. La colonne « Ce qu’ils ont à gagner » répète la slide 2</w:t>
      </w:r>
      <w:r>
        <w:t xml:space="preserve"> </w:t>
      </w:r>
      <w:r>
        <w:t xml:space="preserve">(les enjeux). On peut la remplacer par « Moyens d’action ».</w:t>
      </w:r>
    </w:p>
    <w:p>
      <w:pPr>
        <w:pStyle w:val="BodyText"/>
      </w:pPr>
      <w:r>
        <w:rPr>
          <w:bCs/>
          <w:b/>
        </w:rPr>
        <w:t xml:space="preserve">🟠 4.7. La « cartographie des positions » en bas est une liste de valeurs, pas une carte.</w:t>
      </w:r>
      <w:r>
        <w:t xml:space="preserve"> </w:t>
      </w:r>
      <w:r>
        <w:t xml:space="preserve">Il vaut mieux placer les acteurs sur un axe (voir la proposition ci-dessous).</w:t>
      </w:r>
    </w:p>
    <w:p>
      <w:pPr>
        <w:pStyle w:val="BodyText"/>
      </w:pPr>
      <w:r>
        <w:rPr>
          <w:bCs/>
          <w:b/>
        </w:rPr>
        <w:t xml:space="preserve">🟡 4.8.</w:t>
      </w:r>
      <w:r>
        <w:t xml:space="preserve"> </w:t>
      </w:r>
      <w:r>
        <w:t xml:space="preserve">Il y a beaucoup de texte pour environ 2 minutes (7 lignes × 3 colonnes), et la flèche ↘ chevauche le tableau.</w:t>
      </w:r>
    </w:p>
    <w:p>
      <w:pPr>
        <w:pStyle w:val="BodyText"/>
      </w:pPr>
      <w:r>
        <w:rPr>
          <w:bCs/>
          <w:b/>
        </w:rPr>
        <w:t xml:space="preserve">Proposition de tableau</w:t>
      </w:r>
      <w:r>
        <w:t xml:space="preserve"> </w:t>
      </w:r>
      <w:r>
        <w:t xml:space="preserve">(chaque position est à vérifier dans les sources)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Acteur</w:t>
            </w:r>
          </w:p>
        </w:tc>
        <w:tc>
          <w:tcPr/>
          <w:p>
            <w:pPr>
              <w:pStyle w:val="Compact"/>
              <w:jc w:val="left"/>
            </w:pPr>
            <w:r>
              <w:t xml:space="preserve">Position sur les règles GPAI</w:t>
            </w:r>
          </w:p>
        </w:tc>
        <w:tc>
          <w:tcPr/>
          <w:p>
            <w:pPr>
              <w:pStyle w:val="Compact"/>
              <w:jc w:val="left"/>
            </w:pPr>
            <w:r>
              <w:t xml:space="preserve">Moyens d’action</w:t>
            </w:r>
          </w:p>
        </w:tc>
      </w:tr>
      <w:tr>
        <w:tc>
          <w:tcPr/>
          <w:p>
            <w:pPr>
              <w:pStyle w:val="Compact"/>
              <w:jc w:val="left"/>
            </w:pPr>
            <w:r>
              <w:t xml:space="preserve">Parlement européen (B. Benifei, D. Tudorache)</w:t>
            </w:r>
          </w:p>
        </w:tc>
        <w:tc>
          <w:tcPr/>
          <w:p>
            <w:pPr>
              <w:pStyle w:val="Compact"/>
              <w:jc w:val="left"/>
            </w:pPr>
            <w:r>
              <w:t xml:space="preserve">Règles contraignantes pour les « modèles de fondation »</w:t>
            </w:r>
          </w:p>
        </w:tc>
        <w:tc>
          <w:tcPr/>
          <w:p>
            <w:pPr>
              <w:pStyle w:val="Compact"/>
              <w:jc w:val="left"/>
            </w:pPr>
            <w:r>
              <w:t xml:space="preserve">Position votée le 14/06/2023</w:t>
            </w:r>
          </w:p>
        </w:tc>
      </w:tr>
      <w:tr>
        <w:tc>
          <w:tcPr/>
          <w:p>
            <w:pPr>
              <w:pStyle w:val="Compact"/>
              <w:jc w:val="left"/>
            </w:pPr>
            <w:r>
              <w:t xml:space="preserve">France, Allemagne, Italie (Conseil)</w:t>
            </w:r>
          </w:p>
        </w:tc>
        <w:tc>
          <w:tcPr/>
          <w:p>
            <w:pPr>
              <w:pStyle w:val="Compact"/>
              <w:jc w:val="left"/>
            </w:pPr>
            <w:r>
              <w:t xml:space="preserve">Autorégulation par codes de conduite</w:t>
            </w:r>
          </w:p>
        </w:tc>
        <w:tc>
          <w:tcPr/>
          <w:p>
            <w:pPr>
              <w:pStyle w:val="Compact"/>
              <w:jc w:val="left"/>
            </w:pPr>
            <w:r>
              <w:rPr>
                <w:iCs/>
                <w:i/>
              </w:rPr>
              <w:t xml:space="preserve">Non-paper</w:t>
            </w:r>
            <w:r>
              <w:t xml:space="preserve"> </w:t>
            </w:r>
            <w:r>
              <w:t xml:space="preserve">du 18/11/2023, blocage des négociations</w:t>
            </w:r>
          </w:p>
        </w:tc>
      </w:tr>
      <w:tr>
        <w:tc>
          <w:tcPr/>
          <w:p>
            <w:pPr>
              <w:pStyle w:val="Compact"/>
              <w:jc w:val="left"/>
            </w:pPr>
            <w:r>
              <w:t xml:space="preserve">Commission (T. Breton) et présidence espagnole</w:t>
            </w:r>
          </w:p>
        </w:tc>
        <w:tc>
          <w:tcPr/>
          <w:p>
            <w:pPr>
              <w:pStyle w:val="Compact"/>
              <w:jc w:val="left"/>
            </w:pPr>
            <w:r>
              <w:t xml:space="preserve">Compromis à deux niveaux</w:t>
            </w:r>
          </w:p>
        </w:tc>
        <w:tc>
          <w:tcPr/>
          <w:p>
            <w:pPr>
              <w:pStyle w:val="Compact"/>
              <w:jc w:val="left"/>
            </w:pPr>
            <w:r>
              <w:t xml:space="preserve">Textes de compromis (oct.–nov. 2023)</w:t>
            </w:r>
          </w:p>
        </w:tc>
      </w:tr>
      <w:tr>
        <w:tc>
          <w:tcPr/>
          <w:p>
            <w:pPr>
              <w:pStyle w:val="Compact"/>
              <w:jc w:val="left"/>
            </w:pPr>
            <w:r>
              <w:t xml:space="preserve">Mistral AI, Aleph Alpha</w:t>
            </w:r>
          </w:p>
        </w:tc>
        <w:tc>
          <w:tcPr/>
          <w:p>
            <w:pPr>
              <w:pStyle w:val="Compact"/>
              <w:jc w:val="left"/>
            </w:pPr>
            <w:r>
              <w:t xml:space="preserve">Obligations légères, exemption de l’open source</w:t>
            </w:r>
          </w:p>
        </w:tc>
        <w:tc>
          <w:tcPr/>
          <w:p>
            <w:pPr>
              <w:pStyle w:val="Compact"/>
              <w:jc w:val="left"/>
            </w:pPr>
            <w:r>
              <w:t xml:space="preserve">Accès direct aux gouvernements français et allemand</w:t>
            </w:r>
          </w:p>
        </w:tc>
      </w:tr>
      <w:tr>
        <w:tc>
          <w:tcPr/>
          <w:p>
            <w:pPr>
              <w:pStyle w:val="Compact"/>
              <w:jc w:val="left"/>
            </w:pPr>
            <w:r>
              <w:t xml:space="preserve">Big Tech américaines (OpenAI, Google, Microsoft, Meta)</w:t>
            </w:r>
          </w:p>
        </w:tc>
        <w:tc>
          <w:tcPr/>
          <w:p>
            <w:pPr>
              <w:pStyle w:val="Compact"/>
              <w:jc w:val="left"/>
            </w:pPr>
            <w:r>
              <w:t xml:space="preserve">Réguler les usages, pas les modèles</w:t>
            </w:r>
          </w:p>
        </w:tc>
        <w:tc>
          <w:tcPr/>
          <w:p>
            <w:pPr>
              <w:pStyle w:val="Compact"/>
              <w:jc w:val="left"/>
            </w:pPr>
            <w:r>
              <w:t xml:space="preserve">Livre blanc d’OpenAI (2022), réunions</w:t>
            </w:r>
          </w:p>
        </w:tc>
      </w:tr>
      <w:tr>
        <w:tc>
          <w:tcPr/>
          <w:p>
            <w:pPr>
              <w:pStyle w:val="Compact"/>
              <w:jc w:val="left"/>
            </w:pPr>
            <w:r>
              <w:t xml:space="preserve">Fédérations et industrie (DigitalEurope, CCIA, lettre des 150)</w:t>
            </w:r>
          </w:p>
        </w:tc>
        <w:tc>
          <w:tcPr/>
          <w:p>
            <w:pPr>
              <w:pStyle w:val="Compact"/>
              <w:jc w:val="left"/>
            </w:pPr>
            <w:r>
              <w:t xml:space="preserve">Contre des obligations lourdes</w:t>
            </w:r>
          </w:p>
        </w:tc>
        <w:tc>
          <w:tcPr/>
          <w:p>
            <w:pPr>
              <w:pStyle w:val="Compact"/>
              <w:jc w:val="left"/>
            </w:pPr>
            <w:r>
              <w:t xml:space="preserve">Lettre ouverte (30/06/2023)</w:t>
            </w:r>
          </w:p>
        </w:tc>
      </w:tr>
      <w:tr>
        <w:tc>
          <w:tcPr/>
          <w:p>
            <w:pPr>
              <w:pStyle w:val="Compact"/>
              <w:jc w:val="left"/>
            </w:pPr>
            <w:r>
              <w:t xml:space="preserve">ONG, chercheurs, ayants droit</w:t>
            </w:r>
          </w:p>
        </w:tc>
        <w:tc>
          <w:tcPr/>
          <w:p>
            <w:pPr>
              <w:pStyle w:val="Compact"/>
              <w:jc w:val="left"/>
            </w:pPr>
            <w:r>
              <w:t xml:space="preserve">Règles contraignantes, transparence</w:t>
            </w:r>
          </w:p>
        </w:tc>
        <w:tc>
          <w:tcPr/>
          <w:p>
            <w:pPr>
              <w:pStyle w:val="Compact"/>
              <w:jc w:val="left"/>
            </w:pPr>
            <w:r>
              <w:t xml:space="preserve">Rapports, campagnes, lettres</w:t>
            </w:r>
          </w:p>
        </w:tc>
      </w:tr>
    </w:tbl>
    <w:p>
      <w:pPr>
        <w:pStyle w:val="BodyText"/>
      </w:pPr>
      <w:r>
        <w:rPr>
          <w:bCs/>
          <w:b/>
        </w:rPr>
        <w:t xml:space="preserve">Proposition de carte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Autorégulation / réguler les usages</w:t>
            </w:r>
          </w:p>
        </w:tc>
        <w:tc>
          <w:tcPr/>
          <w:p>
            <w:pPr>
              <w:pStyle w:val="Compact"/>
              <w:jc w:val="left"/>
            </w:pPr>
            <w:r>
              <w:t xml:space="preserve">Compromis</w:t>
            </w:r>
          </w:p>
        </w:tc>
        <w:tc>
          <w:tcPr/>
          <w:p>
            <w:pPr>
              <w:pStyle w:val="Compact"/>
              <w:jc w:val="left"/>
            </w:pPr>
            <w:r>
              <w:t xml:space="preserve">Règles contraignantes pour les modèles</w:t>
            </w:r>
          </w:p>
        </w:tc>
      </w:tr>
      <w:tr>
        <w:tc>
          <w:tcPr/>
          <w:p>
            <w:pPr>
              <w:pStyle w:val="Compact"/>
              <w:jc w:val="left"/>
            </w:pPr>
            <w:r>
              <w:t xml:space="preserve">France, Allemagne, Italie · Mistral AI · Aleph Alpha · Big Tech · fédérations</w:t>
            </w:r>
          </w:p>
        </w:tc>
        <w:tc>
          <w:tcPr/>
          <w:p>
            <w:pPr>
              <w:pStyle w:val="Compact"/>
              <w:jc w:val="left"/>
            </w:pPr>
            <w:r>
              <w:t xml:space="preserve">Commission · présidence espagnole</w:t>
            </w:r>
          </w:p>
        </w:tc>
        <w:tc>
          <w:tcPr/>
          <w:p>
            <w:pPr>
              <w:pStyle w:val="Compact"/>
              <w:jc w:val="left"/>
            </w:pPr>
            <w:r>
              <w:t xml:space="preserve">Parlement · ONG · chercheurs · ayants droit</w:t>
            </w:r>
          </w:p>
        </w:tc>
      </w:tr>
    </w:tbl>
    <w:bookmarkEnd w:id="24"/>
    <w:bookmarkStart w:id="25" w:name="Xfd063ddafb7f59afc50b07d70714468e624f855"/>
    <w:p>
      <w:pPr>
        <w:pStyle w:val="Heading1"/>
      </w:pPr>
      <w:r>
        <w:t xml:space="preserve">5. Slide 4 — Déroulé et actions de lobbying (Tania)</w:t>
      </w:r>
    </w:p>
    <w:p>
      <w:pPr>
        <w:pStyle w:val="FirstParagraph"/>
      </w:pPr>
      <w:r>
        <w:rPr>
          <w:bCs/>
          <w:b/>
        </w:rPr>
        <w:t xml:space="preserve">Points forts :</w:t>
      </w:r>
      <w:r>
        <w:t xml:space="preserve"> </w:t>
      </w:r>
      <w:r>
        <w:t xml:space="preserve">l’encadré « Traces et actions de lobbying » correspond exactement à ce que le prof attend : chiffres sur les réunions, Cédric O, Aleph Alpha, rôle de relais des États. Les logos le rendent très visuel.</w:t>
      </w:r>
    </w:p>
    <w:p>
      <w:pPr>
        <w:pStyle w:val="BodyText"/>
      </w:pPr>
      <w:r>
        <w:rPr>
          <w:bCs/>
          <w:b/>
        </w:rPr>
        <w:t xml:space="preserve">🔴 5.1. Date erronée.</w:t>
      </w:r>
      <w:r>
        <w:t xml:space="preserve"> </w:t>
      </w:r>
      <w:r>
        <w:t xml:space="preserve">« 9 DÉCEMBRE 2023 » →</w:t>
      </w:r>
      <w:r>
        <w:t xml:space="preserve"> </w:t>
      </w:r>
      <w:r>
        <w:rPr>
          <w:bCs/>
          <w:b/>
        </w:rPr>
        <w:t xml:space="preserve">8 décembre 2023</w:t>
      </w:r>
      <w:r>
        <w:t xml:space="preserve">, comme sur la slide 1.</w:t>
      </w:r>
    </w:p>
    <w:p>
      <w:pPr>
        <w:pStyle w:val="BodyText"/>
      </w:pPr>
      <w:r>
        <w:rPr>
          <w:bCs/>
          <w:b/>
        </w:rPr>
        <w:t xml:space="preserve">🔴 5.2. La chronologie est celle de la loi, pas celle de la bataille.</w:t>
      </w:r>
    </w:p>
    <w:p>
      <w:pPr>
        <w:numPr>
          <w:ilvl w:val="0"/>
          <w:numId w:val="1006"/>
        </w:numPr>
        <w:pStyle w:val="Compact"/>
      </w:pPr>
      <w:r>
        <w:t xml:space="preserve">Six dates répètent la slide 1 : 21/04/2021, 13/03/2024, 21/05/2024, 01/08/2024, 02/08/2025 et 02/08/2026.</w:t>
      </w:r>
    </w:p>
    <w:p>
      <w:pPr>
        <w:numPr>
          <w:ilvl w:val="0"/>
          <w:numId w:val="1006"/>
        </w:numPr>
        <w:pStyle w:val="Compact"/>
      </w:pPr>
      <w:r>
        <w:t xml:space="preserve">D’autres concernent l’IA « à haut risque » (2027), c’est-à-dire le sujet 10.</w:t>
      </w:r>
    </w:p>
    <w:p>
      <w:pPr>
        <w:pStyle w:val="FirstParagraph"/>
      </w:pPr>
      <w:r>
        <w:t xml:space="preserve">Le prof demande la « chronologie de la bataille ».</w:t>
      </w:r>
    </w:p>
    <w:p>
      <w:pPr>
        <w:pStyle w:val="BodyText"/>
      </w:pPr>
      <w:r>
        <w:rPr>
          <w:bCs/>
          <w:b/>
        </w:rPr>
        <w:t xml:space="preserve">🔴 5.3. L’encadré « Amendements » ne présente aucun amendement.</w:t>
      </w:r>
      <w:r>
        <w:t xml:space="preserve"> </w:t>
      </w:r>
      <w:r>
        <w:t xml:space="preserve">Ce sont des étapes de procédure (consultation, désignation des rapporteurs, dates limites), et aucune action d’influence n’y apparaît. De plus, « 17 juin 2022 : présidence tchèque » est douteux, car cette présidence n’a commencé que le 1er juillet 2022. Il vaut mieux supprimer cet encadré.</w:t>
      </w:r>
    </w:p>
    <w:p>
      <w:pPr>
        <w:pStyle w:val="BodyText"/>
      </w:pPr>
      <w:r>
        <w:rPr>
          <w:bCs/>
          <w:b/>
        </w:rPr>
        <w:t xml:space="preserve">🟠 5.4. La trace la plus importante manque : le</w:t>
      </w:r>
      <w:r>
        <w:rPr>
          <w:bCs/>
          <w:b/>
        </w:rPr>
        <w:t xml:space="preserve"> </w:t>
      </w:r>
      <w:r>
        <w:rPr>
          <w:iCs/>
          <w:i/>
          <w:bCs/>
          <w:b/>
        </w:rPr>
        <w:t xml:space="preserve">non-paper</w:t>
      </w:r>
      <w:r>
        <w:rPr>
          <w:bCs/>
          <w:b/>
        </w:rPr>
        <w:t xml:space="preserve"> </w:t>
      </w:r>
      <w:r>
        <w:rPr>
          <w:bCs/>
          <w:b/>
        </w:rPr>
        <w:t xml:space="preserve">France-Allemagne-Italie du 18 novembre 2023.</w:t>
      </w:r>
      <w:r>
        <w:t xml:space="preserve"> </w:t>
      </w:r>
      <w:r>
        <w:t xml:space="preserve">Il proposait une « autorégulation obligatoire » par codes de conduite, sans sanctions au départ. C’est probablement le moment qui a fait basculer la négociation. Le texte original est disponible en ligne (publié par</w:t>
      </w:r>
      <w:r>
        <w:t xml:space="preserve"> </w:t>
      </w:r>
      <w:r>
        <w:rPr>
          <w:iCs/>
          <w:i/>
        </w:rPr>
        <w:t xml:space="preserve">Table.Media</w:t>
      </w:r>
      <w:r>
        <w:t xml:space="preserve">).</w:t>
      </w:r>
    </w:p>
    <w:p>
      <w:pPr>
        <w:pStyle w:val="BodyText"/>
      </w:pPr>
      <w:r>
        <w:rPr>
          <w:bCs/>
          <w:b/>
        </w:rPr>
        <w:t xml:space="preserve">🟠 5.5. Le chiffre 66 % / 86 %.</w:t>
      </w:r>
      <w:r>
        <w:t xml:space="preserve"> </w:t>
      </w:r>
      <w:r>
        <w:t xml:space="preserve">Il vient du rapport « Byte by byte » de Corporate Europe Observatory (2023), et il porte sur les</w:t>
      </w:r>
      <w:r>
        <w:t xml:space="preserve"> </w:t>
      </w:r>
      <w:r>
        <w:rPr>
          <w:bCs/>
          <w:b/>
        </w:rPr>
        <w:t xml:space="preserve">intérêts économiques en général</w:t>
      </w:r>
      <w:r>
        <w:t xml:space="preserve">, pas seulement sur les géants du numérique. Il faut reformuler en « Lobbying des entreprises : … » et citer la source.</w:t>
      </w:r>
    </w:p>
    <w:p>
      <w:pPr>
        <w:pStyle w:val="BodyText"/>
      </w:pPr>
      <w:r>
        <w:rPr>
          <w:bCs/>
          <w:b/>
        </w:rPr>
        <w:t xml:space="preserve">🟠 5.6. Deux phrases à corriger.</w:t>
      </w:r>
    </w:p>
    <w:p>
      <w:pPr>
        <w:numPr>
          <w:ilvl w:val="0"/>
          <w:numId w:val="1007"/>
        </w:numPr>
        <w:pStyle w:val="Compact"/>
      </w:pPr>
      <w:r>
        <w:t xml:space="preserve">« Mistral AI : ancien secrétaire d’État… (Cédric O) et ouvre… » → « Mistral AI : l’un de ses cofondateurs est l’ancien secrétaire d’État au Numérique Cédric O ; la start-up ouvre un bureau de lobbying à Bruxelles (2023). »</w:t>
      </w:r>
    </w:p>
    <w:p>
      <w:pPr>
        <w:numPr>
          <w:ilvl w:val="0"/>
          <w:numId w:val="1007"/>
        </w:numPr>
        <w:pStyle w:val="Compact"/>
      </w:pPr>
      <w:r>
        <w:t xml:space="preserve">« Aleph Alpha : fondateur invité… pour rencontrer gouvernement allemand » → « Aleph Alpha : son fondateur, Jonas Andrulis, est invité en août 2023 au séminaire du gouvernement allemand à Meseberg. »</w:t>
      </w:r>
    </w:p>
    <w:p>
      <w:pPr>
        <w:pStyle w:val="FirstParagraph"/>
      </w:pPr>
      <w:r>
        <w:t xml:space="preserve">⚠️ Je n’ai pas pu vérifier l’épisode de Meseberg ni la date d’ouverture du bureau de Mistral : il faut ajouter la source précise.</w:t>
      </w:r>
    </w:p>
    <w:p>
      <w:pPr>
        <w:pStyle w:val="BodyText"/>
      </w:pPr>
      <w:r>
        <w:rPr>
          <w:bCs/>
          <w:b/>
        </w:rPr>
        <w:t xml:space="preserve">🟠 5.7. Il n’y a aucune source sur la slide.</w:t>
      </w:r>
      <w:r>
        <w:t xml:space="preserve"> </w:t>
      </w:r>
      <w:r>
        <w:t xml:space="preserve">À ajouter :</w:t>
      </w:r>
    </w:p>
    <w:p>
      <w:pPr>
        <w:numPr>
          <w:ilvl w:val="0"/>
          <w:numId w:val="1008"/>
        </w:numPr>
        <w:pStyle w:val="Compact"/>
      </w:pPr>
      <w:r>
        <w:t xml:space="preserve">Corporate Europe Observatory, « Byte by byte » (2023) ;</w:t>
      </w:r>
    </w:p>
    <w:p>
      <w:pPr>
        <w:numPr>
          <w:ilvl w:val="0"/>
          <w:numId w:val="1008"/>
        </w:numPr>
        <w:pStyle w:val="Compact"/>
      </w:pPr>
      <w:r>
        <w:t xml:space="preserve">LobbyControl, CEO et Observatoire des multinationales (mars 2024) ;</w:t>
      </w:r>
    </w:p>
    <w:p>
      <w:pPr>
        <w:numPr>
          <w:ilvl w:val="0"/>
          <w:numId w:val="1008"/>
        </w:numPr>
        <w:pStyle w:val="Compact"/>
      </w:pPr>
      <w:r>
        <w:rPr>
          <w:iCs/>
          <w:i/>
        </w:rPr>
        <w:t xml:space="preserve">non-paper</w:t>
      </w:r>
      <w:r>
        <w:t xml:space="preserve"> </w:t>
      </w:r>
      <w:r>
        <w:t xml:space="preserve">FR-DE-IT (18/11/2023).</w:t>
      </w:r>
    </w:p>
    <w:p>
      <w:pPr>
        <w:pStyle w:val="FirstParagraph"/>
      </w:pPr>
      <w:r>
        <w:rPr>
          <w:bCs/>
          <w:b/>
        </w:rPr>
        <w:t xml:space="preserve">🟡 5.8. La forme.</w:t>
      </w:r>
    </w:p>
    <w:p>
      <w:pPr>
        <w:numPr>
          <w:ilvl w:val="0"/>
          <w:numId w:val="1009"/>
        </w:numPr>
        <w:pStyle w:val="Compact"/>
      </w:pPr>
      <w:r>
        <w:t xml:space="preserve">Il y a trop de texte, et la police est trop petite dans les trois encadrés.</w:t>
      </w:r>
    </w:p>
    <w:p>
      <w:pPr>
        <w:numPr>
          <w:ilvl w:val="0"/>
          <w:numId w:val="1009"/>
        </w:numPr>
        <w:pStyle w:val="Compact"/>
      </w:pPr>
      <w:r>
        <w:t xml:space="preserve">« MISE EN OEUVRE » → « MISE EN ŒUVRE » ; « DECEMBRE », « AOUT » → « DÉCEMBRE », « AOÛT ».</w:t>
      </w:r>
    </w:p>
    <w:p>
      <w:pPr>
        <w:numPr>
          <w:ilvl w:val="0"/>
          <w:numId w:val="1009"/>
        </w:numPr>
        <w:pStyle w:val="Compact"/>
      </w:pPr>
      <w:r>
        <w:t xml:space="preserve">La numérotation « 1.6 AOUT » se lit comme « 1,6 ».</w:t>
      </w:r>
    </w:p>
    <w:p>
      <w:pPr>
        <w:pStyle w:val="FirstParagraph"/>
      </w:pPr>
      <w:r>
        <w:rPr>
          <w:bCs/>
          <w:b/>
        </w:rPr>
        <w:t xml:space="preserve">Proposition :</w:t>
      </w:r>
      <w:r>
        <w:t xml:space="preserve"> </w:t>
      </w:r>
      <w:r>
        <w:t xml:space="preserve">à gauche, la chronologie de la bataille ; à droite, l’encadré des traces (déjà très bien).</w:t>
      </w:r>
    </w:p>
    <w:p>
      <w:pPr>
        <w:numPr>
          <w:ilvl w:val="0"/>
          <w:numId w:val="1010"/>
        </w:numPr>
        <w:pStyle w:val="Compact"/>
      </w:pPr>
      <w:r>
        <w:t xml:space="preserve">13/05/2022 : la présidence française du Conseil introduit des règles sur l’IA à usage général (article 4 bis)</w:t>
      </w:r>
    </w:p>
    <w:p>
      <w:pPr>
        <w:numPr>
          <w:ilvl w:val="0"/>
          <w:numId w:val="1010"/>
        </w:numPr>
        <w:pStyle w:val="Compact"/>
      </w:pPr>
      <w:r>
        <w:t xml:space="preserve">14/06/2023 : le Parlement ajoute des obligations pour les « modèles de fondation »</w:t>
      </w:r>
    </w:p>
    <w:p>
      <w:pPr>
        <w:numPr>
          <w:ilvl w:val="0"/>
          <w:numId w:val="1010"/>
        </w:numPr>
        <w:pStyle w:val="Compact"/>
      </w:pPr>
      <w:r>
        <w:t xml:space="preserve">30/06/2023 : lettre ouverte de plus de 150 dirigeants européens contre le texte du Parlement</w:t>
      </w:r>
    </w:p>
    <w:p>
      <w:pPr>
        <w:numPr>
          <w:ilvl w:val="0"/>
          <w:numId w:val="1010"/>
        </w:numPr>
        <w:pStyle w:val="Compact"/>
      </w:pPr>
      <w:r>
        <w:t xml:space="preserve">Oct.–nov. 2023 : la présidence espagnole propose une approche à deux niveaux</w:t>
      </w:r>
    </w:p>
    <w:p>
      <w:pPr>
        <w:numPr>
          <w:ilvl w:val="0"/>
          <w:numId w:val="1010"/>
        </w:numPr>
        <w:pStyle w:val="Compact"/>
      </w:pPr>
      <w:r>
        <w:t xml:space="preserve">18/11/2023 :</w:t>
      </w:r>
      <w:r>
        <w:t xml:space="preserve"> </w:t>
      </w:r>
      <w:r>
        <w:rPr>
          <w:iCs/>
          <w:i/>
        </w:rPr>
        <w:t xml:space="preserve">non-paper</w:t>
      </w:r>
      <w:r>
        <w:t xml:space="preserve"> </w:t>
      </w:r>
      <w:r>
        <w:t xml:space="preserve">FR-DE-IT pour une « autorégulation obligatoire »</w:t>
      </w:r>
    </w:p>
    <w:p>
      <w:pPr>
        <w:numPr>
          <w:ilvl w:val="0"/>
          <w:numId w:val="1010"/>
        </w:numPr>
        <w:pStyle w:val="Compact"/>
      </w:pPr>
      <w:r>
        <w:rPr>
          <w:bCs/>
          <w:b/>
        </w:rPr>
        <w:t xml:space="preserve">08/12/2023 : accord politique</w:t>
      </w:r>
      <w:r>
        <w:t xml:space="preserve"> </w:t>
      </w:r>
      <w:r>
        <w:t xml:space="preserve">(l’approche à deux niveaux est conservée)</w:t>
      </w:r>
    </w:p>
    <w:p>
      <w:pPr>
        <w:numPr>
          <w:ilvl w:val="0"/>
          <w:numId w:val="1010"/>
        </w:numPr>
        <w:pStyle w:val="Compact"/>
      </w:pPr>
      <w:r>
        <w:t xml:space="preserve">02/02/2024 : la France lève ses réserves, accord approuvé à l’unanimité au Coreper</w:t>
      </w:r>
    </w:p>
    <w:bookmarkEnd w:id="25"/>
    <w:bookmarkStart w:id="26" w:name="slide-5-résultat-et-enseignements"/>
    <w:p>
      <w:pPr>
        <w:pStyle w:val="Heading1"/>
      </w:pPr>
      <w:r>
        <w:t xml:space="preserve">6. Slide 5 — Résultat et enseignements</w:t>
      </w:r>
    </w:p>
    <w:p>
      <w:pPr>
        <w:pStyle w:val="FirstParagraph"/>
      </w:pPr>
      <w:r>
        <w:t xml:space="preserve">Le modèle est encore présent (« Lorem ipsum », « Statistics / Database management / Programming ») : il faut le remplacer avant la répétition. Cette slide doit répondre à la problématique.</w:t>
      </w:r>
    </w:p>
    <w:bookmarkEnd w:id="26"/>
    <w:bookmarkStart w:id="27" w:name="priorités-avant-la-répétition"/>
    <w:p>
      <w:pPr>
        <w:pStyle w:val="Heading1"/>
      </w:pPr>
      <w:r>
        <w:t xml:space="preserve">7. Priorités avant la répétition</w:t>
      </w:r>
    </w:p>
    <w:p>
      <w:pPr>
        <w:numPr>
          <w:ilvl w:val="0"/>
          <w:numId w:val="1011"/>
        </w:numPr>
        <w:pStyle w:val="Compact"/>
      </w:pPr>
      <w:r>
        <w:t xml:space="preserve">Corriger la date : 8 décembre 2023 (slide 4).</w:t>
      </w:r>
    </w:p>
    <w:p>
      <w:pPr>
        <w:numPr>
          <w:ilvl w:val="0"/>
          <w:numId w:val="1011"/>
        </w:numPr>
        <w:pStyle w:val="Compact"/>
      </w:pPr>
      <w:r>
        <w:t xml:space="preserve">Slide 3 : ajouter les États membres (FR, DE, IT), séparer Parlement, Conseil et Commission, préciser les positions.</w:t>
      </w:r>
    </w:p>
    <w:p>
      <w:pPr>
        <w:numPr>
          <w:ilvl w:val="0"/>
          <w:numId w:val="1011"/>
        </w:numPr>
        <w:pStyle w:val="Compact"/>
      </w:pPr>
      <w:r>
        <w:t xml:space="preserve">Slide 4 : remplacer la chronologie de la loi par celle de la bataille, supprimer l’encadré « Amendements », ajouter le</w:t>
      </w:r>
      <w:r>
        <w:t xml:space="preserve"> </w:t>
      </w:r>
      <w:r>
        <w:rPr>
          <w:iCs/>
          <w:i/>
        </w:rPr>
        <w:t xml:space="preserve">non-paper</w:t>
      </w:r>
      <w:r>
        <w:t xml:space="preserve">, citer les sources.</w:t>
      </w:r>
    </w:p>
    <w:p>
      <w:pPr>
        <w:numPr>
          <w:ilvl w:val="0"/>
          <w:numId w:val="1011"/>
        </w:numPr>
        <w:pStyle w:val="Compact"/>
      </w:pPr>
      <w:r>
        <w:t xml:space="preserve">Remplir la slide 5.</w:t>
      </w:r>
    </w:p>
    <w:p>
      <w:pPr>
        <w:numPr>
          <w:ilvl w:val="0"/>
          <w:numId w:val="1011"/>
        </w:numPr>
        <w:pStyle w:val="Compact"/>
      </w:pPr>
      <w:r>
        <w:t xml:space="preserve">Demander au prof si la couverture compte dans les 5 slides.</w:t>
      </w:r>
    </w:p>
    <w:p>
      <w:pPr>
        <w:numPr>
          <w:ilvl w:val="0"/>
          <w:numId w:val="1011"/>
        </w:numPr>
        <w:pStyle w:val="Compact"/>
      </w:pPr>
      <w:r>
        <w:t xml:space="preserve">Harmoniser la forme (accents, polices, sources).</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Relecture n° 2 — Slides du sujet 11</dc:title>
  <dc:creator/>
  <cp:keywords/>
  <dcterms:created xsi:type="dcterms:W3CDTF">2026-10-13T11:20:19Z</dcterms:created>
  <dcterms:modified xsi:type="dcterms:W3CDTF">2026-10-13T11:20:19Z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IA générative : la bataille autour des règles applicables aux grands modèles d’IA</vt:lpwstr>
  </property>
</Properties>
</file>