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Relecture</w:t>
      </w:r>
      <w:r>
        <w:t xml:space="preserve"> </w:t>
      </w:r>
      <w:r>
        <w:t xml:space="preserve">n°</w:t>
      </w:r>
      <w:r>
        <w:t xml:space="preserve"> </w:t>
      </w:r>
      <w:r>
        <w:t xml:space="preserve">4</w:t>
      </w:r>
      <w:r>
        <w:t xml:space="preserve"> </w:t>
      </w:r>
      <w:r>
        <w:t xml:space="preserve">—</w:t>
      </w:r>
      <w:r>
        <w:t xml:space="preserve"> </w:t>
      </w:r>
      <w:r>
        <w:t xml:space="preserve">Docs</w:t>
      </w:r>
      <w:r>
        <w:t xml:space="preserve"> </w:t>
      </w:r>
      <w:r>
        <w:t xml:space="preserve">et</w:t>
      </w:r>
      <w:r>
        <w:t xml:space="preserve"> </w:t>
      </w:r>
      <w:r>
        <w:t xml:space="preserve">slides</w:t>
      </w:r>
      <w:r>
        <w:t xml:space="preserve"> </w:t>
      </w:r>
      <w:r>
        <w:t xml:space="preserve">du</w:t>
      </w:r>
      <w:r>
        <w:t xml:space="preserve"> </w:t>
      </w:r>
      <w:r>
        <w:t xml:space="preserve">sujet</w:t>
      </w:r>
      <w:r>
        <w:t xml:space="preserve"> </w:t>
      </w:r>
      <w:r>
        <w:t xml:space="preserve">11</w:t>
      </w:r>
    </w:p>
    <w:p>
      <w:pPr>
        <w:pStyle w:val="Subtitle"/>
      </w:pPr>
      <w:r>
        <w:t xml:space="preserve">IA</w:t>
      </w:r>
      <w:r>
        <w:t xml:space="preserve"> </w:t>
      </w:r>
      <w:r>
        <w:t xml:space="preserve">générative</w:t>
      </w:r>
      <w:r>
        <w:t xml:space="preserve"> </w:t>
      </w:r>
      <w:r>
        <w:t xml:space="preserve">:</w:t>
      </w:r>
      <w:r>
        <w:t xml:space="preserve"> </w:t>
      </w:r>
      <w:r>
        <w:t xml:space="preserve">la</w:t>
      </w:r>
      <w:r>
        <w:t xml:space="preserve"> </w:t>
      </w:r>
      <w:r>
        <w:t xml:space="preserve">bataille</w:t>
      </w:r>
      <w:r>
        <w:t xml:space="preserve"> </w:t>
      </w:r>
      <w:r>
        <w:t xml:space="preserve">autour</w:t>
      </w:r>
      <w:r>
        <w:t xml:space="preserve"> </w:t>
      </w:r>
      <w:r>
        <w:t xml:space="preserve">des</w:t>
      </w:r>
      <w:r>
        <w:t xml:space="preserve"> </w:t>
      </w:r>
      <w:r>
        <w:t xml:space="preserve">règles</w:t>
      </w:r>
      <w:r>
        <w:t xml:space="preserve"> </w:t>
      </w:r>
      <w:r>
        <w:t xml:space="preserve">applicables</w:t>
      </w:r>
      <w:r>
        <w:t xml:space="preserve"> </w:t>
      </w:r>
      <w:r>
        <w:t xml:space="preserve">aux</w:t>
      </w:r>
      <w:r>
        <w:t xml:space="preserve"> </w:t>
      </w:r>
      <w:r>
        <w:t xml:space="preserve">grands</w:t>
      </w:r>
      <w:r>
        <w:t xml:space="preserve"> </w:t>
      </w:r>
      <w:r>
        <w:t xml:space="preserve">modèles</w:t>
      </w:r>
      <w:r>
        <w:t xml:space="preserve"> </w:t>
      </w:r>
      <w:r>
        <w:t xml:space="preserve">d’IA</w:t>
      </w:r>
    </w:p>
    <w:p>
      <w:pPr>
        <w:pStyle w:val="FirstParagraph"/>
      </w:pPr>
      <w:r>
        <w:rPr>
          <w:bCs/>
          <w:b/>
        </w:rPr>
        <w:t xml:space="preserve">Méthode.</w:t>
      </w:r>
      <w:r>
        <w:t xml:space="preserve"> </w:t>
      </w:r>
      <w:r>
        <w:t xml:space="preserve">Le docs et les slides ont été relus en entier et comparés avec la consigne du prof. Depuis la relecture n° 3, seule la</w:t>
      </w:r>
      <w:r>
        <w:t xml:space="preserve"> </w:t>
      </w:r>
      <w:r>
        <w:rPr>
          <w:bCs/>
          <w:b/>
        </w:rPr>
        <w:t xml:space="preserve">partie 4</w:t>
      </w:r>
      <w:r>
        <w:t xml:space="preserve"> </w:t>
      </w:r>
      <w:r>
        <w:t xml:space="preserve">a changé (docs et slide). Les remarques sur les autres parties restent valables ; elles sont rappelées brièvement en section 4. Seules les erreurs importantes sont relevées. Relecture réalisée avec l’aide d’une IA ; les faits cités ont été vérifiés dans des sources en ligne.</w:t>
      </w:r>
    </w:p>
    <w:p>
      <w:pPr>
        <w:pStyle w:val="BodyText"/>
      </w:pPr>
      <w:r>
        <w:rPr>
          <w:bCs/>
          <w:b/>
        </w:rPr>
        <w:t xml:space="preserve">Légende :</w:t>
      </w:r>
      <w:r>
        <w:t xml:space="preserve"> </w:t>
      </w:r>
      <w:r>
        <w:t xml:space="preserve">🔴 erreur factuelle ou manque majeur · 🟠 point important</w:t>
      </w:r>
    </w:p>
    <w:bookmarkStart w:id="20" w:name="taux-de-réalisation-estimé"/>
    <w:p>
      <w:pPr>
        <w:pStyle w:val="Heading1"/>
      </w:pPr>
      <w:r>
        <w:t xml:space="preserve">1. Taux de réalisation estimé</w:t>
      </w:r>
    </w:p>
    <w:p>
      <w:pPr>
        <w:pStyle w:val="FirstParagraph"/>
      </w:pPr>
      <w:r>
        <w:t xml:space="preserve">Chacune des cinq parties de la consigne compte pour 20 %.</w:t>
      </w:r>
    </w:p>
    <w:tbl>
      <w:tblPr>
        <w:tblStyle w:val="Table"/>
        <w:tblW w:type="pct" w:w="5000"/>
        <w:tblLook w:firstRow="1" w:lastRow="0" w:firstColumn="0" w:lastColumn="0" w:noHBand="0" w:noVBand="0" w:val="0020"/>
        <w:jc w:val="start"/>
      </w:tblPr>
      <w:tblGrid>
        <w:gridCol w:w="1760"/>
        <w:gridCol w:w="990"/>
        <w:gridCol w:w="990"/>
        <w:gridCol w:w="4180"/>
      </w:tblGrid>
      <w:tr>
        <w:trPr>
          <w:tblHeader w:val="true"/>
        </w:trPr>
        <w:tc>
          <w:tcPr/>
          <w:p>
            <w:pPr>
              <w:pStyle w:val="Compact"/>
              <w:jc w:val="left"/>
            </w:pPr>
            <w:r>
              <w:t xml:space="preserve">Partie</w:t>
            </w:r>
          </w:p>
        </w:tc>
        <w:tc>
          <w:tcPr/>
          <w:p>
            <w:pPr>
              <w:pStyle w:val="Compact"/>
              <w:jc w:val="left"/>
            </w:pPr>
            <w:r>
              <w:t xml:space="preserve">Docs</w:t>
            </w:r>
          </w:p>
        </w:tc>
        <w:tc>
          <w:tcPr/>
          <w:p>
            <w:pPr>
              <w:pStyle w:val="Compact"/>
              <w:jc w:val="left"/>
            </w:pPr>
            <w:r>
              <w:t xml:space="preserve">Slides</w:t>
            </w:r>
          </w:p>
        </w:tc>
        <w:tc>
          <w:tcPr/>
          <w:p>
            <w:pPr>
              <w:pStyle w:val="Compact"/>
              <w:jc w:val="left"/>
            </w:pPr>
            <w:r>
              <w:t xml:space="preserve">Évolution depuis la relecture n° 3</w:t>
            </w:r>
          </w:p>
        </w:tc>
      </w:tr>
      <w:tr>
        <w:tc>
          <w:tcPr/>
          <w:p>
            <w:pPr>
              <w:pStyle w:val="Compact"/>
              <w:jc w:val="left"/>
            </w:pPr>
            <w:r>
              <w:t xml:space="preserve">1. Contexte et décision</w:t>
            </w:r>
          </w:p>
        </w:tc>
        <w:tc>
          <w:tcPr/>
          <w:p>
            <w:pPr>
              <w:pStyle w:val="Compact"/>
              <w:jc w:val="left"/>
            </w:pPr>
            <w:r>
              <w:t xml:space="preserve">100 %</w:t>
            </w:r>
          </w:p>
        </w:tc>
        <w:tc>
          <w:tcPr/>
          <w:p>
            <w:pPr>
              <w:pStyle w:val="Compact"/>
              <w:jc w:val="left"/>
            </w:pPr>
            <w:r>
              <w:t xml:space="preserve">100 %</w:t>
            </w:r>
          </w:p>
        </w:tc>
        <w:tc>
          <w:tcPr/>
          <w:p>
            <w:pPr>
              <w:pStyle w:val="Compact"/>
              <w:jc w:val="left"/>
            </w:pPr>
            <w:r>
              <w:t xml:space="preserve">Inchangé</w:t>
            </w:r>
          </w:p>
        </w:tc>
      </w:tr>
      <w:tr>
        <w:tc>
          <w:tcPr/>
          <w:p>
            <w:pPr>
              <w:pStyle w:val="Compact"/>
              <w:jc w:val="left"/>
            </w:pPr>
            <w:r>
              <w:t xml:space="preserve">2. Enjeux</w:t>
            </w:r>
          </w:p>
        </w:tc>
        <w:tc>
          <w:tcPr/>
          <w:p>
            <w:pPr>
              <w:pStyle w:val="Compact"/>
              <w:jc w:val="left"/>
            </w:pPr>
            <w:r>
              <w:t xml:space="preserve">90 %</w:t>
            </w:r>
          </w:p>
        </w:tc>
        <w:tc>
          <w:tcPr/>
          <w:p>
            <w:pPr>
              <w:pStyle w:val="Compact"/>
              <w:jc w:val="left"/>
            </w:pPr>
            <w:r>
              <w:t xml:space="preserve">85 %</w:t>
            </w:r>
          </w:p>
        </w:tc>
        <w:tc>
          <w:tcPr/>
          <w:p>
            <w:pPr>
              <w:pStyle w:val="Compact"/>
              <w:jc w:val="left"/>
            </w:pPr>
            <w:r>
              <w:t xml:space="preserve">Inchangé</w:t>
            </w:r>
          </w:p>
        </w:tc>
      </w:tr>
      <w:tr>
        <w:tc>
          <w:tcPr/>
          <w:p>
            <w:pPr>
              <w:pStyle w:val="Compact"/>
              <w:jc w:val="left"/>
            </w:pPr>
            <w:r>
              <w:t xml:space="preserve">3. Acteurs</w:t>
            </w:r>
          </w:p>
        </w:tc>
        <w:tc>
          <w:tcPr/>
          <w:p>
            <w:pPr>
              <w:pStyle w:val="Compact"/>
              <w:jc w:val="left"/>
            </w:pPr>
            <w:r>
              <w:t xml:space="preserve">40 %</w:t>
            </w:r>
          </w:p>
        </w:tc>
        <w:tc>
          <w:tcPr/>
          <w:p>
            <w:pPr>
              <w:pStyle w:val="Compact"/>
              <w:jc w:val="left"/>
            </w:pPr>
            <w:r>
              <w:t xml:space="preserve">40 %</w:t>
            </w:r>
          </w:p>
        </w:tc>
        <w:tc>
          <w:tcPr/>
          <w:p>
            <w:pPr>
              <w:pStyle w:val="Compact"/>
              <w:jc w:val="left"/>
            </w:pPr>
            <w:r>
              <w:t xml:space="preserve">Inchangé</w:t>
            </w:r>
          </w:p>
        </w:tc>
      </w:tr>
      <w:tr>
        <w:tc>
          <w:tcPr/>
          <w:p>
            <w:pPr>
              <w:pStyle w:val="Compact"/>
              <w:jc w:val="left"/>
            </w:pPr>
            <w:r>
              <w:t xml:space="preserve">4. Déroulé et lobbying</w:t>
            </w:r>
          </w:p>
        </w:tc>
        <w:tc>
          <w:tcPr/>
          <w:p>
            <w:pPr>
              <w:pStyle w:val="Compact"/>
              <w:jc w:val="left"/>
            </w:pPr>
            <w:r>
              <w:t xml:space="preserve">70 %</w:t>
            </w:r>
          </w:p>
        </w:tc>
        <w:tc>
          <w:tcPr/>
          <w:p>
            <w:pPr>
              <w:pStyle w:val="Compact"/>
              <w:jc w:val="left"/>
            </w:pPr>
            <w:r>
              <w:t xml:space="preserve">60 %</w:t>
            </w:r>
          </w:p>
        </w:tc>
        <w:tc>
          <w:tcPr/>
          <w:p>
            <w:pPr>
              <w:pStyle w:val="Compact"/>
              <w:jc w:val="left"/>
            </w:pPr>
            <w:r>
              <w:t xml:space="preserve">Slide : de 65 % à 60 % (nouvelles erreurs factuelles)</w:t>
            </w:r>
          </w:p>
        </w:tc>
      </w:tr>
      <w:tr>
        <w:tc>
          <w:tcPr/>
          <w:p>
            <w:pPr>
              <w:pStyle w:val="Compact"/>
              <w:jc w:val="left"/>
            </w:pPr>
            <w:r>
              <w:t xml:space="preserve">5. Résultat et enseignements</w:t>
            </w:r>
          </w:p>
        </w:tc>
        <w:tc>
          <w:tcPr/>
          <w:p>
            <w:pPr>
              <w:pStyle w:val="Compact"/>
              <w:jc w:val="left"/>
            </w:pPr>
            <w:r>
              <w:t xml:space="preserve">0 %</w:t>
            </w:r>
          </w:p>
        </w:tc>
        <w:tc>
          <w:tcPr/>
          <w:p>
            <w:pPr>
              <w:pStyle w:val="Compact"/>
              <w:jc w:val="left"/>
            </w:pPr>
            <w:r>
              <w:t xml:space="preserve">0 %</w:t>
            </w:r>
          </w:p>
        </w:tc>
        <w:tc>
          <w:tcPr/>
          <w:p>
            <w:pPr>
              <w:pStyle w:val="Compact"/>
              <w:jc w:val="left"/>
            </w:pPr>
            <w:r>
              <w:t xml:space="preserve">Inchangé (non rédigée)</w:t>
            </w:r>
          </w:p>
        </w:tc>
      </w:tr>
      <w:tr>
        <w:tc>
          <w:tcPr/>
          <w:p>
            <w:pPr>
              <w:pStyle w:val="Compact"/>
              <w:jc w:val="left"/>
            </w:pPr>
            <w:r>
              <w:rPr>
                <w:bCs/>
                <w:b/>
              </w:rPr>
              <w:t xml:space="preserve">Total</w:t>
            </w:r>
          </w:p>
        </w:tc>
        <w:tc>
          <w:tcPr/>
          <w:p>
            <w:pPr>
              <w:pStyle w:val="Compact"/>
              <w:jc w:val="left"/>
            </w:pPr>
            <w:r>
              <w:rPr>
                <w:bCs/>
                <w:b/>
              </w:rPr>
              <w:t xml:space="preserve">≈ 60 %</w:t>
            </w:r>
          </w:p>
        </w:tc>
        <w:tc>
          <w:tcPr/>
          <w:p>
            <w:pPr>
              <w:pStyle w:val="Compact"/>
              <w:jc w:val="left"/>
            </w:pPr>
            <w:r>
              <w:rPr>
                <w:bCs/>
                <w:b/>
              </w:rPr>
              <w:t xml:space="preserve">≈ 57 %</w:t>
            </w:r>
          </w:p>
        </w:tc>
        <w:tc>
          <w:tcPr/>
          <w:p>
            <w:pPr>
              <w:pStyle w:val="Compact"/>
            </w:pPr>
          </w:p>
        </w:tc>
      </w:tr>
    </w:tbl>
    <w:p>
      <w:pPr>
        <w:pStyle w:val="BodyText"/>
      </w:pPr>
      <w:r>
        <w:rPr>
          <w:bCs/>
          <w:b/>
        </w:rPr>
        <w:t xml:space="preserve">Estimation globale : environ 58 % de la consigne est couvert.</w:t>
      </w:r>
      <w:r>
        <w:t xml:space="preserve"> </w:t>
      </w:r>
      <w:r>
        <w:t xml:space="preserve">L’écart restant se concentre sur les parties 3 et 5, ainsi que sur les erreurs factuelles de la slide 4.</w:t>
      </w:r>
    </w:p>
    <w:bookmarkEnd w:id="20"/>
    <w:bookmarkStart w:id="21" w:name="Xe72fffde930a93ccfd53a6d6248cdacbf883d3e"/>
    <w:p>
      <w:pPr>
        <w:pStyle w:val="Heading1"/>
      </w:pPr>
      <w:r>
        <w:t xml:space="preserve">2. Partie 4 — Changements constatés depuis la relecture n° 3</w:t>
      </w:r>
    </w:p>
    <w:p>
      <w:pPr>
        <w:numPr>
          <w:ilvl w:val="0"/>
          <w:numId w:val="1001"/>
        </w:numPr>
        <w:pStyle w:val="Compact"/>
      </w:pPr>
      <w:r>
        <w:t xml:space="preserve">La chronologie institutionnelle (2021, 2024) a été retirée de la slide.</w:t>
      </w:r>
    </w:p>
    <w:p>
      <w:pPr>
        <w:numPr>
          <w:ilvl w:val="0"/>
          <w:numId w:val="1001"/>
        </w:numPr>
        <w:pStyle w:val="Compact"/>
      </w:pPr>
      <w:r>
        <w:t xml:space="preserve">L’erreur « juin 2023 » pour le livre blanc d’OpenAI est corrigée : 2022.</w:t>
      </w:r>
    </w:p>
    <w:p>
      <w:pPr>
        <w:numPr>
          <w:ilvl w:val="0"/>
          <w:numId w:val="1001"/>
        </w:numPr>
        <w:pStyle w:val="Compact"/>
      </w:pPr>
      <w:r>
        <w:t xml:space="preserve">Les titres d’encadrés qui ne correspondaient pas à leur contenu ont disparu.</w:t>
      </w:r>
    </w:p>
    <w:p>
      <w:pPr>
        <w:numPr>
          <w:ilvl w:val="0"/>
          <w:numId w:val="1001"/>
        </w:numPr>
        <w:pStyle w:val="Compact"/>
      </w:pPr>
      <w:r>
        <w:t xml:space="preserve">Ajouts : photos des personnes, réunion de Rome (France, Allemagne, Italie), citation de la lettre ouverte.</w:t>
      </w:r>
    </w:p>
    <w:p>
      <w:pPr>
        <w:numPr>
          <w:ilvl w:val="0"/>
          <w:numId w:val="1001"/>
        </w:numPr>
        <w:pStyle w:val="Compact"/>
      </w:pPr>
      <w:r>
        <w:t xml:space="preserve">Un texte oral a été ajouté dans le docs.</w:t>
      </w:r>
    </w:p>
    <w:p>
      <w:pPr>
        <w:numPr>
          <w:ilvl w:val="0"/>
          <w:numId w:val="1001"/>
        </w:numPr>
        <w:pStyle w:val="Compact"/>
      </w:pPr>
      <w:r>
        <w:t xml:space="preserve">L’encadré « ONG » a été retiré.</w:t>
      </w:r>
    </w:p>
    <w:bookmarkEnd w:id="21"/>
    <w:bookmarkStart w:id="24" w:name="partie-4-erreurs-importantes"/>
    <w:p>
      <w:pPr>
        <w:pStyle w:val="Heading1"/>
      </w:pPr>
      <w:r>
        <w:t xml:space="preserve">3. Partie 4 — Erreurs importantes</w:t>
      </w:r>
    </w:p>
    <w:bookmarkStart w:id="22" w:name="sur-la-slide"/>
    <w:p>
      <w:pPr>
        <w:pStyle w:val="Heading2"/>
      </w:pPr>
      <w:r>
        <w:t xml:space="preserve">Sur la slide</w:t>
      </w:r>
    </w:p>
    <w:p>
      <w:pPr>
        <w:pStyle w:val="FirstParagraph"/>
      </w:pPr>
      <w:r>
        <w:rPr>
          <w:bCs/>
          <w:b/>
        </w:rPr>
        <w:t xml:space="preserve">🔴 3.1. « JUIN-NOVEMBRE 2024 » est une erreur de date.</w:t>
      </w:r>
      <w:r>
        <w:t xml:space="preserve"> </w:t>
      </w:r>
      <w:r>
        <w:t xml:space="preserve">Les 12 rendez-vous d’Aleph Alpha avec le gouvernement allemand ont eu lieu entre juin et novembre</w:t>
      </w:r>
      <w:r>
        <w:t xml:space="preserve"> </w:t>
      </w:r>
      <w:r>
        <w:rPr>
          <w:bCs/>
          <w:b/>
        </w:rPr>
        <w:t xml:space="preserve">2023</w:t>
      </w:r>
      <w:r>
        <w:t xml:space="preserve">, comme l’indique d’ailleurs le texte de l’encadré. En 2024, le texte était déjà adopté : un lobbying à cette date n’aurait pas pu peser sur la négociation. La chronologie se lit donc dans le mauvais ordre (octobre 2023, puis 2024).</w:t>
      </w:r>
    </w:p>
    <w:p>
      <w:pPr>
        <w:pStyle w:val="BodyText"/>
      </w:pPr>
      <w:r>
        <w:rPr>
          <w:bCs/>
          <w:b/>
        </w:rPr>
        <w:t xml:space="preserve">🔴 3.2. Une photo est mal légendée.</w:t>
      </w:r>
      <w:r>
        <w:t xml:space="preserve"> </w:t>
      </w:r>
      <w:r>
        <w:t xml:space="preserve">Dans l’encadré Aleph Alpha, la photo légendée « CÉDRIC O » ne montre pas la même personne que la photo « CÉDRIC O » de l’encadré juin 2023. De plus, Cédric O est lié à Mistral AI, pas à Aleph Alpha. Il faut vérifier qui est sur la photo : il s’agit peut-être de Jonas Andrulis, fondateur d’Aleph Alpha.</w:t>
      </w:r>
    </w:p>
    <w:p>
      <w:pPr>
        <w:pStyle w:val="BodyText"/>
      </w:pPr>
      <w:r>
        <w:rPr>
          <w:bCs/>
          <w:b/>
        </w:rPr>
        <w:t xml:space="preserve">🔴 3.3. Les photos de l’encadré 2022 ne sont pas justifiées.</w:t>
      </w:r>
      <w:r>
        <w:t xml:space="preserve"> </w:t>
      </w:r>
      <w:r>
        <w:t xml:space="preserve">Les photos de Chris Lehane, Sam Altman et Anna Makanju laissent croire que ce sont les « trois représentants d’OpenAI » reçus par la Commission en juin 2022. Aucune source ne donne leurs noms. Surtout,</w:t>
      </w:r>
      <w:r>
        <w:t xml:space="preserve"> </w:t>
      </w:r>
      <w:r>
        <w:rPr>
          <w:bCs/>
          <w:b/>
        </w:rPr>
        <w:t xml:space="preserve">Chris Lehane n’a rejoint OpenAI qu’en 2024</w:t>
      </w:r>
      <w:r>
        <w:t xml:space="preserve">. Il faudrait retirer les photos et garder uniquement le logo d’OpenAI.</w:t>
      </w:r>
    </w:p>
    <w:p>
      <w:pPr>
        <w:pStyle w:val="BodyText"/>
      </w:pPr>
      <w:r>
        <w:rPr>
          <w:bCs/>
          <w:b/>
        </w:rPr>
        <w:t xml:space="preserve">🔴 3.4. Deux événements différents sont confondus.</w:t>
      </w:r>
    </w:p>
    <w:p>
      <w:pPr>
        <w:numPr>
          <w:ilvl w:val="0"/>
          <w:numId w:val="1002"/>
        </w:numPr>
        <w:pStyle w:val="Compact"/>
      </w:pPr>
      <w:r>
        <w:t xml:space="preserve">L’encadré indique à la fois « 30 octobre 2023 » et « Sommet (novembre 2023, Rome) ». La réunion de Rome entre Adolfo Urso, Robert Habeck et Bruno Le Maire a eu lieu le</w:t>
      </w:r>
      <w:r>
        <w:t xml:space="preserve"> </w:t>
      </w:r>
      <w:r>
        <w:rPr>
          <w:bCs/>
          <w:b/>
        </w:rPr>
        <w:t xml:space="preserve">30 octobre 2023</w:t>
      </w:r>
      <w:r>
        <w:t xml:space="preserve">.</w:t>
      </w:r>
    </w:p>
    <w:p>
      <w:pPr>
        <w:numPr>
          <w:ilvl w:val="0"/>
          <w:numId w:val="1002"/>
        </w:numPr>
        <w:pStyle w:val="Compact"/>
      </w:pPr>
      <w:r>
        <w:t xml:space="preserve">Cette réunion a produit une déclaration générale : mettre l’IA au cœur de la politique industrielle et travailler avec l’industrie.</w:t>
      </w:r>
    </w:p>
    <w:p>
      <w:pPr>
        <w:numPr>
          <w:ilvl w:val="0"/>
          <w:numId w:val="1002"/>
        </w:numPr>
        <w:pStyle w:val="Compact"/>
      </w:pPr>
      <w:r>
        <w:t xml:space="preserve">La position qui demande une</w:t>
      </w:r>
      <w:r>
        <w:t xml:space="preserve"> </w:t>
      </w:r>
      <w:r>
        <w:rPr>
          <w:bCs/>
          <w:b/>
        </w:rPr>
        <w:t xml:space="preserve">autorégulation par codes de conduite</w:t>
      </w:r>
      <w:r>
        <w:t xml:space="preserve"> </w:t>
      </w:r>
      <w:r>
        <w:t xml:space="preserve">pour les modèles vient d’un autre texte : le</w:t>
      </w:r>
      <w:r>
        <w:t xml:space="preserve"> </w:t>
      </w:r>
      <w:r>
        <w:rPr>
          <w:bCs/>
          <w:b/>
        </w:rPr>
        <w:t xml:space="preserve">non-paper du 18 novembre 2023</w:t>
      </w:r>
      <w:r>
        <w:t xml:space="preserve">. Le docs fait la même confusion : « en octobre 2023, la France, l’Allemagne et l’Italie défendent une régulation plus souple […] codes de conduite ».</w:t>
      </w:r>
    </w:p>
    <w:p>
      <w:pPr>
        <w:pStyle w:val="FirstParagraph"/>
      </w:pPr>
      <w:r>
        <w:rPr>
          <w:bCs/>
          <w:b/>
        </w:rPr>
        <w:t xml:space="preserve">🟠 3.5. Le tournant et l’issue de la bataille manquent.</w:t>
      </w:r>
    </w:p>
    <w:p>
      <w:pPr>
        <w:numPr>
          <w:ilvl w:val="0"/>
          <w:numId w:val="1003"/>
        </w:numPr>
        <w:pStyle w:val="Compact"/>
      </w:pPr>
      <w:r>
        <w:t xml:space="preserve">Le non-paper du 18 novembre 2023 et le blocage des négociations n’apparaissent pas.</w:t>
      </w:r>
    </w:p>
    <w:p>
      <w:pPr>
        <w:numPr>
          <w:ilvl w:val="0"/>
          <w:numId w:val="1003"/>
        </w:numPr>
        <w:pStyle w:val="Compact"/>
      </w:pPr>
      <w:r>
        <w:t xml:space="preserve">L’accord politique du 8 décembre 2023 n’apparaît pas non plus.</w:t>
      </w:r>
    </w:p>
    <w:p>
      <w:pPr>
        <w:pStyle w:val="FirstParagraph"/>
      </w:pPr>
      <w:r>
        <w:t xml:space="preserve">La chronologie s’arrête donc avant le moment décisif et avant le résultat de la bataille.</w:t>
      </w:r>
    </w:p>
    <w:p>
      <w:pPr>
        <w:pStyle w:val="BodyText"/>
      </w:pPr>
      <w:r>
        <w:rPr>
          <w:bCs/>
          <w:b/>
        </w:rPr>
        <w:t xml:space="preserve">🟠 3.6. Une influence est présentée comme un fait établi.</w:t>
      </w:r>
      <w:r>
        <w:t xml:space="preserve"> </w:t>
      </w:r>
      <w:r>
        <w:t xml:space="preserve">La slide affirme : « Aleph Alpha a influencé le discours des ministres allemands, qui ont repris ses arguments ». Il s’agit de l’analyse de l’enquête de LobbyControl, Corporate Europe Observatory et de l’Observatoire des multinationales. Le texte oral du docs est plus prudent (« selon l’enquête de LobbyControl… ont trouvé un écho »). Sur la slide, il faut écrire « Selon LobbyControl… ».</w:t>
      </w:r>
    </w:p>
    <w:p>
      <w:pPr>
        <w:pStyle w:val="BodyText"/>
      </w:pPr>
      <w:r>
        <w:rPr>
          <w:bCs/>
          <w:b/>
        </w:rPr>
        <w:t xml:space="preserve">🟠 3.7. « VivaTech et Forum de Davos » n’est pas expliqué.</w:t>
      </w:r>
      <w:r>
        <w:t xml:space="preserve"> </w:t>
      </w:r>
      <w:r>
        <w:t xml:space="preserve">On ne sait pas qui, quand ni ce qui s’y est passé. En l’état, ce n’est pas une trace d’influence.</w:t>
      </w:r>
    </w:p>
    <w:bookmarkEnd w:id="22"/>
    <w:bookmarkStart w:id="23" w:name="dans-le-docs"/>
    <w:p>
      <w:pPr>
        <w:pStyle w:val="Heading2"/>
      </w:pPr>
      <w:r>
        <w:t xml:space="preserve">Dans le docs</w:t>
      </w:r>
    </w:p>
    <w:p>
      <w:pPr>
        <w:pStyle w:val="FirstParagraph"/>
      </w:pPr>
      <w:r>
        <w:rPr>
          <w:bCs/>
          <w:b/>
        </w:rPr>
        <w:t xml:space="preserve">🟠 3.8. La liste intitulée « Chronologie » n’est pas dans l’ordre.</w:t>
      </w:r>
      <w:r>
        <w:t xml:space="preserve"> </w:t>
      </w:r>
      <w:r>
        <w:t xml:space="preserve">L’entrée « octobre 2023 » apparaît avant « juin 2023 ».</w:t>
      </w:r>
    </w:p>
    <w:p>
      <w:pPr>
        <w:pStyle w:val="BodyText"/>
      </w:pPr>
      <w:r>
        <w:rPr>
          <w:bCs/>
          <w:b/>
        </w:rPr>
        <w:t xml:space="preserve">🟠 3.9. La lettre ouverte de juin 2023.</w:t>
      </w:r>
    </w:p>
    <w:p>
      <w:pPr>
        <w:numPr>
          <w:ilvl w:val="0"/>
          <w:numId w:val="1004"/>
        </w:numPr>
        <w:pStyle w:val="Compact"/>
      </w:pPr>
      <w:r>
        <w:t xml:space="preserve">Le texte oral dit que « des représentants de Mistral AI » figurent parmi les signataires. Cela n’a pas pu être vérifié.</w:t>
      </w:r>
    </w:p>
    <w:p>
      <w:pPr>
        <w:numPr>
          <w:ilvl w:val="0"/>
          <w:numId w:val="1004"/>
        </w:numPr>
        <w:pStyle w:val="Compact"/>
      </w:pPr>
      <w:r>
        <w:t xml:space="preserve">Ce qui est documenté : la lettre (30/06/2023) a été</w:t>
      </w:r>
      <w:r>
        <w:t xml:space="preserve"> </w:t>
      </w:r>
      <w:r>
        <w:rPr>
          <w:bCs/>
          <w:b/>
        </w:rPr>
        <w:t xml:space="preserve">organisée par Cédric O</w:t>
      </w:r>
      <w:r>
        <w:t xml:space="preserve"> </w:t>
      </w:r>
      <w:r>
        <w:t xml:space="preserve">(cofondateur de Mistral AI),</w:t>
      </w:r>
      <w:r>
        <w:t xml:space="preserve"> </w:t>
      </w:r>
      <w:r>
        <w:rPr>
          <w:bCs/>
          <w:b/>
        </w:rPr>
        <w:t xml:space="preserve">René Obermann</w:t>
      </w:r>
      <w:r>
        <w:t xml:space="preserve"> </w:t>
      </w:r>
      <w:r>
        <w:t xml:space="preserve">(président du conseil d’administration d’Airbus) et</w:t>
      </w:r>
      <w:r>
        <w:t xml:space="preserve"> </w:t>
      </w:r>
      <w:r>
        <w:rPr>
          <w:bCs/>
          <w:b/>
        </w:rPr>
        <w:t xml:space="preserve">Jeannette zu Fürstenberg</w:t>
      </w:r>
      <w:r>
        <w:t xml:space="preserve"> </w:t>
      </w:r>
      <w:r>
        <w:t xml:space="preserve">(fonds La Famiglia). Selon Cédric O, cité par Reuters, elle visait la version votée par le Parlement.</w:t>
      </w:r>
    </w:p>
    <w:p>
      <w:pPr>
        <w:numPr>
          <w:ilvl w:val="0"/>
          <w:numId w:val="1004"/>
        </w:numPr>
        <w:pStyle w:val="Compact"/>
      </w:pPr>
      <w:r>
        <w:t xml:space="preserve">La slide montre déjà ces trois personnes, mais ni la slide ni le docs ne disent qu’elles en sont les organisateurs. Cette information est une trace d’influence plus précise que la simple liste de signataires.</w:t>
      </w:r>
    </w:p>
    <w:p>
      <w:pPr>
        <w:pStyle w:val="FirstParagraph"/>
      </w:pPr>
      <w:r>
        <w:rPr>
          <w:bCs/>
          <w:b/>
        </w:rPr>
        <w:t xml:space="preserve">🟠 3.10. Mistral AI.</w:t>
      </w:r>
    </w:p>
    <w:p>
      <w:pPr>
        <w:numPr>
          <w:ilvl w:val="0"/>
          <w:numId w:val="1005"/>
        </w:numPr>
        <w:pStyle w:val="Compact"/>
      </w:pPr>
      <w:r>
        <w:t xml:space="preserve">« A obtenu des exemptions majeures pour ses modèles » : c’est un résultat, qui relève de la partie 5. C’est aussi l’appréciation de l’Observatoire des multinationales : il faut l’attribuer (« selon… »).</w:t>
      </w:r>
    </w:p>
    <w:p>
      <w:pPr>
        <w:numPr>
          <w:ilvl w:val="0"/>
          <w:numId w:val="1005"/>
        </w:numPr>
        <w:pStyle w:val="Compact"/>
      </w:pPr>
      <w:r>
        <w:t xml:space="preserve">« Un budget et un réseau de contacts significatifs » : aucun chiffre ni aucune source.</w:t>
      </w:r>
    </w:p>
    <w:p>
      <w:pPr>
        <w:pStyle w:val="FirstParagraph"/>
      </w:pPr>
      <w:r>
        <w:rPr>
          <w:bCs/>
          <w:b/>
        </w:rPr>
        <w:t xml:space="preserve">🟠 3.11. Les sources sont incomplètes.</w:t>
      </w:r>
    </w:p>
    <w:p>
      <w:pPr>
        <w:numPr>
          <w:ilvl w:val="0"/>
          <w:numId w:val="1006"/>
        </w:numPr>
        <w:pStyle w:val="Compact"/>
      </w:pPr>
      <w:r>
        <w:t xml:space="preserve">La slide ne cite pas la source de la réunion de Rome. Le docs, lui, la cite : communiqué du ministère des Finances, 30/10/2023.</w:t>
      </w:r>
    </w:p>
    <w:p>
      <w:pPr>
        <w:numPr>
          <w:ilvl w:val="0"/>
          <w:numId w:val="1006"/>
        </w:numPr>
        <w:pStyle w:val="Compact"/>
      </w:pPr>
      <w:r>
        <w:t xml:space="preserve">Dans le docs, les sources n’ont toujours ni date ni lien, sauf pour la partie 1.</w:t>
      </w:r>
    </w:p>
    <w:bookmarkEnd w:id="23"/>
    <w:bookmarkEnd w:id="24"/>
    <w:bookmarkStart w:id="25" w:name="X707ada269f4be776744c34c4668c855374f67c8"/>
    <w:p>
      <w:pPr>
        <w:pStyle w:val="Heading1"/>
      </w:pPr>
      <w:r>
        <w:t xml:space="preserve">4. Rappel : remarques de la relecture n° 3 toujours valables</w:t>
      </w:r>
    </w:p>
    <w:p>
      <w:pPr>
        <w:numPr>
          <w:ilvl w:val="0"/>
          <w:numId w:val="1007"/>
        </w:numPr>
        <w:pStyle w:val="Compact"/>
      </w:pPr>
      <w:r>
        <w:rPr>
          <w:bCs/>
          <w:b/>
        </w:rPr>
        <w:t xml:space="preserve">Partie 2 (slide)</w:t>
      </w:r>
      <w:r>
        <w:t xml:space="preserve"> </w:t>
      </w:r>
      <w:r>
        <w:t xml:space="preserve">: la position des start-up européennes (Mistral AI, Aleph Alpha : obligations allégées, « barrière à l’entrée ») figure dans le docs mais pas sur la slide. La slide indique « États (FR, DE) », alors que la slide 4 montre France, Allemagne et Italie.</w:t>
      </w:r>
    </w:p>
    <w:p>
      <w:pPr>
        <w:numPr>
          <w:ilvl w:val="0"/>
          <w:numId w:val="1007"/>
        </w:numPr>
        <w:pStyle w:val="Compact"/>
      </w:pPr>
      <w:r>
        <w:rPr>
          <w:bCs/>
          <w:b/>
        </w:rPr>
        <w:t xml:space="preserve">Partie 3 (docs et slide)</w:t>
      </w:r>
      <w:r>
        <w:t xml:space="preserve"> </w:t>
      </w:r>
      <w:r>
        <w:t xml:space="preserve">: rien n’a changé.</w:t>
      </w:r>
    </w:p>
    <w:p>
      <w:pPr>
        <w:numPr>
          <w:ilvl w:val="1"/>
          <w:numId w:val="1008"/>
        </w:numPr>
        <w:pStyle w:val="Compact"/>
      </w:pPr>
      <w:r>
        <w:t xml:space="preserve">La France, l’Allemagne et l’Italie sont absentes.</w:t>
      </w:r>
    </w:p>
    <w:p>
      <w:pPr>
        <w:numPr>
          <w:ilvl w:val="1"/>
          <w:numId w:val="1008"/>
        </w:numPr>
        <w:pStyle w:val="Compact"/>
      </w:pPr>
      <w:r>
        <w:t xml:space="preserve">La ligne « Union européenne » regroupe le Parlement et la Commission, qui n’avaient pas la même position.</w:t>
      </w:r>
    </w:p>
    <w:p>
      <w:pPr>
        <w:numPr>
          <w:ilvl w:val="1"/>
          <w:numId w:val="1008"/>
        </w:numPr>
        <w:pStyle w:val="Compact"/>
      </w:pPr>
      <w:r>
        <w:t xml:space="preserve">Les fédérations professionnelles manquent.</w:t>
      </w:r>
    </w:p>
    <w:p>
      <w:pPr>
        <w:numPr>
          <w:ilvl w:val="1"/>
          <w:numId w:val="1008"/>
        </w:numPr>
        <w:pStyle w:val="Compact"/>
      </w:pPr>
      <w:r>
        <w:t xml:space="preserve">Les positions ne portent pas sur la question centrale (règles contraignantes ou autorégulation ?).</w:t>
      </w:r>
    </w:p>
    <w:p>
      <w:pPr>
        <w:numPr>
          <w:ilvl w:val="1"/>
          <w:numId w:val="1008"/>
        </w:numPr>
        <w:pStyle w:val="Compact"/>
      </w:pPr>
      <w:r>
        <w:t xml:space="preserve">La « cartographie » n’est pas une carte.</w:t>
      </w:r>
    </w:p>
    <w:p>
      <w:pPr>
        <w:numPr>
          <w:ilvl w:val="1"/>
          <w:numId w:val="1008"/>
        </w:numPr>
        <w:pStyle w:val="Compact"/>
      </w:pPr>
      <w:r>
        <w:t xml:space="preserve">« États-Unis et Chine » ne sont pas des acteurs du lobbying à Bruxelles.</w:t>
      </w:r>
    </w:p>
    <w:p>
      <w:pPr>
        <w:numPr>
          <w:ilvl w:val="1"/>
          <w:numId w:val="1008"/>
        </w:numPr>
        <w:pStyle w:val="Compact"/>
      </w:pPr>
      <w:r>
        <w:t xml:space="preserve">Il n’y a aucune source.</w:t>
      </w:r>
    </w:p>
    <w:p>
      <w:pPr>
        <w:numPr>
          <w:ilvl w:val="0"/>
          <w:numId w:val="1007"/>
        </w:numPr>
        <w:pStyle w:val="Compact"/>
      </w:pPr>
      <w:r>
        <w:rPr>
          <w:bCs/>
          <w:b/>
        </w:rPr>
        <w:t xml:space="preserve">Partie 5</w:t>
      </w:r>
      <w:r>
        <w:t xml:space="preserve"> </w:t>
      </w:r>
      <w:r>
        <w:t xml:space="preserve">: toujours non rédigée. Le docs ne contient que les questions, et la slide affiche le modèle « Lorem ipsum ». La problématique reste sans réponse.</w:t>
      </w:r>
    </w:p>
    <w:p>
      <w:pPr>
        <w:numPr>
          <w:ilvl w:val="0"/>
          <w:numId w:val="1007"/>
        </w:numPr>
        <w:pStyle w:val="Compact"/>
      </w:pPr>
      <w:r>
        <w:rPr>
          <w:bCs/>
          <w:b/>
        </w:rPr>
        <w:t xml:space="preserve">Organisation</w:t>
      </w:r>
      <w:r>
        <w:t xml:space="preserve"> </w:t>
      </w:r>
      <w:r>
        <w:t xml:space="preserve">:</w:t>
      </w:r>
    </w:p>
    <w:p>
      <w:pPr>
        <w:numPr>
          <w:ilvl w:val="1"/>
          <w:numId w:val="1009"/>
        </w:numPr>
        <w:pStyle w:val="Compact"/>
      </w:pPr>
      <w:r>
        <w:t xml:space="preserve">le docs indique toujours « 8 à 10 minutes » au lieu de 10 à 12 ;</w:t>
      </w:r>
    </w:p>
    <w:p>
      <w:pPr>
        <w:numPr>
          <w:ilvl w:val="1"/>
          <w:numId w:val="1009"/>
        </w:numPr>
        <w:pStyle w:val="Compact"/>
      </w:pPr>
      <w:r>
        <w:t xml:space="preserve">la partie 5 est toujours attribuée à « TOUS » ;</w:t>
      </w:r>
    </w:p>
    <w:p>
      <w:pPr>
        <w:numPr>
          <w:ilvl w:val="1"/>
          <w:numId w:val="1009"/>
        </w:numPr>
        <w:pStyle w:val="Compact"/>
      </w:pPr>
      <w:r>
        <w:t xml:space="preserve">il faut encore vérifier auprès du prof si la couverture compte dans les 5 slides.</w:t>
      </w:r>
    </w:p>
    <w:bookmarkEnd w:id="25"/>
    <w:bookmarkStart w:id="26" w:name="priorités-par-ordre-dimpact"/>
    <w:p>
      <w:pPr>
        <w:pStyle w:val="Heading1"/>
      </w:pPr>
      <w:r>
        <w:t xml:space="preserve">5. Priorités, par ordre d’impact</w:t>
      </w:r>
    </w:p>
    <w:p>
      <w:pPr>
        <w:numPr>
          <w:ilvl w:val="0"/>
          <w:numId w:val="1010"/>
        </w:numPr>
        <w:pStyle w:val="Compact"/>
      </w:pPr>
      <w:r>
        <w:rPr>
          <w:bCs/>
          <w:b/>
        </w:rPr>
        <w:t xml:space="preserve">Partie 5</w:t>
      </w:r>
      <w:r>
        <w:t xml:space="preserve"> </w:t>
      </w:r>
      <w:r>
        <w:t xml:space="preserve">: la rédiger (20 % de l’exposé) et désigner la personne qui la présente.</w:t>
      </w:r>
    </w:p>
    <w:p>
      <w:pPr>
        <w:numPr>
          <w:ilvl w:val="0"/>
          <w:numId w:val="1010"/>
        </w:numPr>
        <w:pStyle w:val="Compact"/>
      </w:pPr>
      <w:r>
        <w:rPr>
          <w:bCs/>
          <w:b/>
        </w:rPr>
        <w:t xml:space="preserve">Slide 4</w:t>
      </w:r>
      <w:r>
        <w:t xml:space="preserve"> </w:t>
      </w:r>
      <w:r>
        <w:t xml:space="preserve">:</w:t>
      </w:r>
    </w:p>
    <w:p>
      <w:pPr>
        <w:numPr>
          <w:ilvl w:val="1"/>
          <w:numId w:val="1011"/>
        </w:numPr>
        <w:pStyle w:val="Compact"/>
      </w:pPr>
      <w:r>
        <w:t xml:space="preserve">corriger « 2024 » en 2023 ;</w:t>
      </w:r>
    </w:p>
    <w:p>
      <w:pPr>
        <w:numPr>
          <w:ilvl w:val="1"/>
          <w:numId w:val="1011"/>
        </w:numPr>
        <w:pStyle w:val="Compact"/>
      </w:pPr>
      <w:r>
        <w:t xml:space="preserve">vérifier et corriger la photo légendée « Cédric O » dans l’encadré Aleph Alpha ;</w:t>
      </w:r>
    </w:p>
    <w:p>
      <w:pPr>
        <w:numPr>
          <w:ilvl w:val="1"/>
          <w:numId w:val="1011"/>
        </w:numPr>
        <w:pStyle w:val="Compact"/>
      </w:pPr>
      <w:r>
        <w:t xml:space="preserve">retirer les photos non justifiées de l’encadré 2022 ;</w:t>
      </w:r>
    </w:p>
    <w:p>
      <w:pPr>
        <w:numPr>
          <w:ilvl w:val="1"/>
          <w:numId w:val="1011"/>
        </w:numPr>
        <w:pStyle w:val="Compact"/>
      </w:pPr>
      <w:r>
        <w:t xml:space="preserve">séparer la réunion de Rome (30/10/2023) et le non-paper (18/11/2023) ;</w:t>
      </w:r>
    </w:p>
    <w:p>
      <w:pPr>
        <w:numPr>
          <w:ilvl w:val="1"/>
          <w:numId w:val="1011"/>
        </w:numPr>
        <w:pStyle w:val="Compact"/>
      </w:pPr>
      <w:r>
        <w:t xml:space="preserve">ajouter l’accord du 08/12/2023.</w:t>
      </w:r>
    </w:p>
    <w:p>
      <w:pPr>
        <w:numPr>
          <w:ilvl w:val="0"/>
          <w:numId w:val="1010"/>
        </w:numPr>
        <w:pStyle w:val="Compact"/>
      </w:pPr>
      <w:r>
        <w:rPr>
          <w:bCs/>
          <w:b/>
        </w:rPr>
        <w:t xml:space="preserve">Partie 3</w:t>
      </w:r>
      <w:r>
        <w:t xml:space="preserve"> </w:t>
      </w:r>
      <w:r>
        <w:t xml:space="preserve">: appliquer les corrections de la relecture n° 3.</w:t>
      </w:r>
    </w:p>
    <w:p>
      <w:pPr>
        <w:numPr>
          <w:ilvl w:val="0"/>
          <w:numId w:val="1010"/>
        </w:numPr>
        <w:pStyle w:val="Compact"/>
      </w:pPr>
      <w:r>
        <w:rPr>
          <w:bCs/>
          <w:b/>
        </w:rPr>
        <w:t xml:space="preserve">Docs, partie 4</w:t>
      </w:r>
      <w:r>
        <w:t xml:space="preserve"> </w:t>
      </w:r>
      <w:r>
        <w:t xml:space="preserve">:</w:t>
      </w:r>
    </w:p>
    <w:p>
      <w:pPr>
        <w:numPr>
          <w:ilvl w:val="1"/>
          <w:numId w:val="1012"/>
        </w:numPr>
        <w:pStyle w:val="Compact"/>
      </w:pPr>
      <w:r>
        <w:t xml:space="preserve">remettre la liste dans l’ordre chronologique ;</w:t>
      </w:r>
    </w:p>
    <w:p>
      <w:pPr>
        <w:numPr>
          <w:ilvl w:val="1"/>
          <w:numId w:val="1012"/>
        </w:numPr>
        <w:pStyle w:val="Compact"/>
      </w:pPr>
      <w:r>
        <w:t xml:space="preserve">préciser les organisateurs de la lettre ouverte ;</w:t>
      </w:r>
    </w:p>
    <w:p>
      <w:pPr>
        <w:numPr>
          <w:ilvl w:val="1"/>
          <w:numId w:val="1012"/>
        </w:numPr>
        <w:pStyle w:val="Compact"/>
      </w:pPr>
      <w:r>
        <w:t xml:space="preserve">attribuer les affirmations sur Mistral AI à leur source.</w:t>
      </w:r>
    </w:p>
    <w:p>
      <w:pPr>
        <w:numPr>
          <w:ilvl w:val="0"/>
          <w:numId w:val="1010"/>
        </w:numPr>
        <w:pStyle w:val="Compact"/>
      </w:pPr>
      <w:r>
        <w:rPr>
          <w:bCs/>
          <w:b/>
        </w:rPr>
        <w:t xml:space="preserve">Slide 2</w:t>
      </w:r>
      <w:r>
        <w:t xml:space="preserve"> </w:t>
      </w:r>
      <w:r>
        <w:t xml:space="preserve">: ajouter la position des start-up européennes et l’Italie.</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Relecture n° 4 — Docs et slides du sujet 11</dc:title>
  <dc:creator/>
  <cp:keywords/>
  <dcterms:created xsi:type="dcterms:W3CDTF">2026-10-15T13:23:26Z</dcterms:created>
  <dcterms:modified xsi:type="dcterms:W3CDTF">2026-10-15T13:23:26Z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IA générative : la bataille autour des règles applicables aux grands modèles d’IA</vt:lpwstr>
  </property>
</Properties>
</file>