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Sujet</w:t>
      </w:r>
      <w:r>
        <w:t xml:space="preserve"> </w:t>
      </w:r>
      <w:r>
        <w:t xml:space="preserve">11</w:t>
      </w:r>
      <w:r>
        <w:t xml:space="preserve"> </w:t>
      </w:r>
      <w:r>
        <w:t xml:space="preserve">—</w:t>
      </w:r>
      <w:r>
        <w:t xml:space="preserve"> </w:t>
      </w:r>
      <w:r>
        <w:t xml:space="preserve">Partie</w:t>
      </w:r>
      <w:r>
        <w:t xml:space="preserve"> </w:t>
      </w:r>
      <w:r>
        <w:t xml:space="preserve">1</w:t>
      </w:r>
      <w:r>
        <w:t xml:space="preserve"> </w:t>
      </w:r>
      <w:r>
        <w:t xml:space="preserve">:</w:t>
      </w:r>
      <w:r>
        <w:t xml:space="preserve"> </w:t>
      </w:r>
      <w:r>
        <w:t xml:space="preserve">Contexte</w:t>
      </w:r>
      <w:r>
        <w:t xml:space="preserve"> </w:t>
      </w:r>
      <w:r>
        <w:t xml:space="preserve">et</w:t>
      </w:r>
      <w:r>
        <w:t xml:space="preserve"> </w:t>
      </w:r>
      <w:r>
        <w:t xml:space="preserve">décision</w:t>
      </w:r>
      <w:r>
        <w:t xml:space="preserve"> </w:t>
      </w:r>
      <w:r>
        <w:t xml:space="preserve">publique</w:t>
      </w:r>
      <w:r>
        <w:t xml:space="preserve"> </w:t>
      </w:r>
      <w:r>
        <w:t xml:space="preserve">(Nhi)</w:t>
      </w:r>
    </w:p>
    <w:p>
      <w:pPr>
        <w:pStyle w:val="Subtitle"/>
      </w:pPr>
      <w:r>
        <w:t xml:space="preserve">Version</w:t>
      </w:r>
      <w:r>
        <w:t xml:space="preserve"> </w:t>
      </w:r>
      <w:r>
        <w:t xml:space="preserve">courte</w:t>
      </w:r>
      <w:r>
        <w:t xml:space="preserve"> </w:t>
      </w:r>
      <w:r>
        <w:t xml:space="preserve">avec</w:t>
      </w:r>
      <w:r>
        <w:t xml:space="preserve"> </w:t>
      </w:r>
      <w:r>
        <w:t xml:space="preserve">sources</w:t>
      </w:r>
      <w:r>
        <w:t xml:space="preserve"> </w:t>
      </w:r>
      <w:r>
        <w:t xml:space="preserve">(norme</w:t>
      </w:r>
      <w:r>
        <w:t xml:space="preserve"> </w:t>
      </w:r>
      <w:r>
        <w:t xml:space="preserve">ISO</w:t>
      </w:r>
      <w:r>
        <w:t xml:space="preserve"> </w:t>
      </w:r>
      <w:r>
        <w:t xml:space="preserve">690,</w:t>
      </w:r>
      <w:r>
        <w:t xml:space="preserve"> </w:t>
      </w:r>
      <w:r>
        <w:t xml:space="preserve">appel</w:t>
      </w:r>
      <w:r>
        <w:t xml:space="preserve"> </w:t>
      </w:r>
      <w:r>
        <w:t xml:space="preserve">numérique)</w:t>
      </w:r>
    </w:p>
    <w:bookmarkStart w:id="27" w:name="version-française"/>
    <w:p>
      <w:pPr>
        <w:pStyle w:val="Heading1"/>
      </w:pPr>
      <w:r>
        <w:t xml:space="preserve">VERSION FRANÇAISE</w:t>
      </w:r>
    </w:p>
    <w:bookmarkStart w:id="26" w:name="contexte-et-décision-publique-nhi"/>
    <w:p>
      <w:pPr>
        <w:pStyle w:val="Heading2"/>
      </w:pPr>
      <w:r>
        <w:t xml:space="preserve">1. Contexte et décision publique (Nhi)</w:t>
      </w:r>
    </w:p>
    <w:bookmarkStart w:id="20" w:name="le-contexte-lessor-de-lia-générative"/>
    <w:p>
      <w:pPr>
        <w:pStyle w:val="Heading3"/>
      </w:pPr>
      <w:r>
        <w:t xml:space="preserve">1.1. Le contexte : l’essor de l’IA générative</w:t>
      </w:r>
    </w:p>
    <w:p>
      <w:pPr>
        <w:pStyle w:val="FirstParagraph"/>
      </w:pPr>
      <w:r>
        <w:t xml:space="preserve">Le 30 novembre 2022, OpenAI lance ChatGPT, qui atteint environ 100 millions d’utilisateurs en deux mois, selon une estimation de la banque UBS [1]. Ces outils reposent sur des « modèles d’IA à usage général » (en anglais</w:t>
      </w:r>
      <w:r>
        <w:t xml:space="preserve"> </w:t>
      </w:r>
      <w:r>
        <w:rPr>
          <w:iCs/>
          <w:i/>
        </w:rPr>
        <w:t xml:space="preserve">general-purpose AI</w:t>
      </w:r>
      <w:r>
        <w:t xml:space="preserve">, ou GPAI), comme GPT-4, Gemini ou Llama : un seul modèle peut accomplir des tâches très variées et servir de base à des milliers d’applications. Ce marché est dominé par quelques entreprises, surtout américaines : en 2023, 61 modèles d’IA notables venaient des États-Unis, contre 21 de l’Union européenne [2]. En Europe, les principaux concurrents sont alors Mistral AI (France) et Aleph Alpha (Allemagne).</w:t>
      </w:r>
    </w:p>
    <w:bookmarkEnd w:id="20"/>
    <w:bookmarkStart w:id="21" w:name="le-problème-public"/>
    <w:p>
      <w:pPr>
        <w:pStyle w:val="Heading3"/>
      </w:pPr>
      <w:r>
        <w:t xml:space="preserve">1.2. Le problème public</w:t>
      </w:r>
    </w:p>
    <w:p>
      <w:pPr>
        <w:pStyle w:val="FirstParagraph"/>
      </w:pPr>
      <w:r>
        <w:t xml:space="preserve">En avril 2021, la Commission européenne avait proposé de réguler l’IA selon le risque de chaque usage [3]. Or un modèle à usage général n’a pas d’usage unique : il échappait donc en grande partie à ce cadre. Pourtant, il pose des risques nouveaux : désinformation et deepfakes, utilisation d’œuvres sans respect du droit d’auteur, opacité sur les données d’entraînement et, pour les modèles les plus puissants, des risques dits « systémiques » [4].</w:t>
      </w:r>
    </w:p>
    <w:p>
      <w:pPr>
        <w:pStyle w:val="BodyText"/>
      </w:pPr>
      <w:r>
        <w:t xml:space="preserve">D’où la question au cœur de la bataille : faut-il réguler le modèle lui-même ou seulement ses usages, et jusqu’où aller sans freiner l’innovation européenne ?</w:t>
      </w:r>
    </w:p>
    <w:bookmarkEnd w:id="21"/>
    <w:bookmarkStart w:id="22" w:name="la-décision-publique"/>
    <w:p>
      <w:pPr>
        <w:pStyle w:val="Heading3"/>
      </w:pPr>
      <w:r>
        <w:t xml:space="preserve">1.3. La décision publique</w:t>
      </w:r>
    </w:p>
    <w:p>
      <w:pPr>
        <w:pStyle w:val="FirstParagraph"/>
      </w:pPr>
      <w:r>
        <w:t xml:space="preserve">Il s’agit du règlement (UE) 2024/1689 du 13 juin 2024, l’AI Act, et plus précisément de son chapitre V (articles 51 à 56), qui fixe les obligations des fournisseurs de modèles d’IA à usage général [4]. Un règlement s’applique directement dans les 27 États membres, sans transposition [5] : la règle est donc la même pour toute l’Union, ce qui rend l’enjeu considérable pour les acteurs.</w:t>
      </w:r>
    </w:p>
    <w:bookmarkEnd w:id="22"/>
    <w:bookmarkStart w:id="23" w:name="les-institutions-et-les-dates-clés"/>
    <w:p>
      <w:pPr>
        <w:pStyle w:val="Heading3"/>
      </w:pPr>
      <w:r>
        <w:t xml:space="preserve">1.4. Les institutions et les dates clés</w:t>
      </w:r>
    </w:p>
    <w:p>
      <w:pPr>
        <w:pStyle w:val="FirstParagraph"/>
      </w:pPr>
      <w:r>
        <w:t xml:space="preserve">Le texte est adopté selon la procédure législative ordinaire [5] : la Commission propose, puis le Parlement européen et le Conseil de l’UE décident ensemble, après des négociations informelles entre les trois institutions, appelées « trilogues » [6].</w:t>
      </w:r>
    </w:p>
    <w:p>
      <w:pPr>
        <w:numPr>
          <w:ilvl w:val="0"/>
          <w:numId w:val="1001"/>
        </w:numPr>
        <w:pStyle w:val="Compact"/>
      </w:pPr>
      <w:r>
        <w:t xml:space="preserve">21 avril 2021 : proposition de la Commission [3]</w:t>
      </w:r>
    </w:p>
    <w:p>
      <w:pPr>
        <w:numPr>
          <w:ilvl w:val="0"/>
          <w:numId w:val="1001"/>
        </w:numPr>
        <w:pStyle w:val="Compact"/>
      </w:pPr>
      <w:r>
        <w:t xml:space="preserve">8 décembre 2023 : accord politique en trilogue (moment clé) [7]</w:t>
      </w:r>
    </w:p>
    <w:p>
      <w:pPr>
        <w:numPr>
          <w:ilvl w:val="0"/>
          <w:numId w:val="1001"/>
        </w:numPr>
        <w:pStyle w:val="Compact"/>
      </w:pPr>
      <w:r>
        <w:t xml:space="preserve">13 mars 2024 : vote du Parlement [8] ; 21 mai 2024 : adoption par le Conseil [7]</w:t>
      </w:r>
    </w:p>
    <w:p>
      <w:pPr>
        <w:numPr>
          <w:ilvl w:val="0"/>
          <w:numId w:val="1001"/>
        </w:numPr>
        <w:pStyle w:val="Compact"/>
      </w:pPr>
      <w:r>
        <w:t xml:space="preserve">1er août 2024 : entrée en vigueur [9]</w:t>
      </w:r>
    </w:p>
    <w:p>
      <w:pPr>
        <w:numPr>
          <w:ilvl w:val="0"/>
          <w:numId w:val="1001"/>
        </w:numPr>
        <w:pStyle w:val="Compact"/>
      </w:pPr>
      <w:r>
        <w:t xml:space="preserve">2 août 2025 : application des règles sur les modèles d’IA à usage général [9]</w:t>
      </w:r>
    </w:p>
    <w:p>
      <w:pPr>
        <w:numPr>
          <w:ilvl w:val="0"/>
          <w:numId w:val="1001"/>
        </w:numPr>
        <w:pStyle w:val="Compact"/>
      </w:pPr>
      <w:r>
        <w:t xml:space="preserve">2 août 2026 : le Bureau européen de l’IA (Commission) peut sanctionner [4] [9]</w:t>
      </w:r>
    </w:p>
    <w:bookmarkEnd w:id="23"/>
    <w:bookmarkStart w:id="24" w:name="problématique"/>
    <w:p>
      <w:pPr>
        <w:pStyle w:val="Heading3"/>
      </w:pPr>
      <w:r>
        <w:t xml:space="preserve">1.5. Problématique</w:t>
      </w:r>
    </w:p>
    <w:p>
      <w:pPr>
        <w:pStyle w:val="FirstParagraph"/>
      </w:pPr>
      <w:r>
        <w:t xml:space="preserve">Cette question a opposé les institutions européennes, plusieurs États membres et les entreprises du secteur. D’où notre problématique : qui a réussi à peser sur les règles applicables aux grands modèles d’IA dans l’AI Act, et par quels moyens ?</w:t>
      </w:r>
    </w:p>
    <w:bookmarkEnd w:id="24"/>
    <w:bookmarkStart w:id="25" w:name="sources-de-la-partie-1"/>
    <w:p>
      <w:pPr>
        <w:pStyle w:val="Heading3"/>
      </w:pPr>
      <w:r>
        <w:t xml:space="preserve">Sources de la partie 1</w:t>
      </w:r>
    </w:p>
    <w:p>
      <w:pPr>
        <w:pStyle w:val="FirstParagraph"/>
      </w:pPr>
      <w:r>
        <w:t xml:space="preserve">[1] HU, Krystal. « ChatGPT sets record for fastest-growing user base – analyst note ».</w:t>
      </w:r>
      <w:r>
        <w:t xml:space="preserve"> </w:t>
      </w:r>
      <w:r>
        <w:rPr>
          <w:iCs/>
          <w:i/>
        </w:rPr>
        <w:t xml:space="preserve">Reuters</w:t>
      </w:r>
      <w:r>
        <w:t xml:space="preserve"> </w:t>
      </w:r>
      <w:r>
        <w:t xml:space="preserve">[en ligne]. 1er février 2023. [Consulté le 12 octobre 2026]. Disponible à l’adresse : https://www.reuters.com/technology/chatgpt-sets-record-fastest-growing-user-base-analyst-note-2023-02-01/</w:t>
      </w:r>
    </w:p>
    <w:p>
      <w:pPr>
        <w:pStyle w:val="BodyText"/>
      </w:pPr>
      <w:r>
        <w:t xml:space="preserve">[2] STANFORD INSTITUTE FOR HUMAN-CENTERED ARTIFICIAL INTELLIGENCE.</w:t>
      </w:r>
      <w:r>
        <w:t xml:space="preserve"> </w:t>
      </w:r>
      <w:r>
        <w:rPr>
          <w:iCs/>
          <w:i/>
        </w:rPr>
        <w:t xml:space="preserve">The AI Index 2024 Annual Report</w:t>
      </w:r>
      <w:r>
        <w:t xml:space="preserve"> </w:t>
      </w:r>
      <w:r>
        <w:t xml:space="preserve">[en ligne]. Stanford : Stanford University, avril 2024. [Consulté le 12 octobre 2026]. Disponible à l’adresse : https://hai.stanford.edu/ai-index/2024-ai-index-report</w:t>
      </w:r>
    </w:p>
    <w:p>
      <w:pPr>
        <w:pStyle w:val="BodyText"/>
      </w:pPr>
      <w:r>
        <w:t xml:space="preserve">[3] COMMISSION EUROPÉENNE.</w:t>
      </w:r>
      <w:r>
        <w:t xml:space="preserve"> </w:t>
      </w:r>
      <w:r>
        <w:rPr>
          <w:iCs/>
          <w:i/>
        </w:rPr>
        <w:t xml:space="preserve">Proposition de règlement du Parlement européen et du Conseil établissant des règles harmonisées concernant l’intelligence artificielle (législation sur l’intelligence artificielle) et modifiant certains actes législatifs de l’Union</w:t>
      </w:r>
      <w:r>
        <w:t xml:space="preserve">. COM(2021) 206 final. Bruxelles, 21 avril 2021. Disponible à l’adresse : https://eur-lex.europa.eu/legal-content/FR/TXT/?uri=CELEX:52021PC0206</w:t>
      </w:r>
    </w:p>
    <w:p>
      <w:pPr>
        <w:pStyle w:val="BodyText"/>
      </w:pPr>
      <w:r>
        <w:t xml:space="preserve">[4] UNION EUROPÉENNE. Règlement (UE) 2024/1689 du Parlement européen et du Conseil du 13 juin 2024 établissant des règles harmonisées concernant l’intelligence artificielle et modifiant […] (règlement sur l’intelligence artificielle).</w:t>
      </w:r>
      <w:r>
        <w:t xml:space="preserve"> </w:t>
      </w:r>
      <w:r>
        <w:rPr>
          <w:iCs/>
          <w:i/>
        </w:rPr>
        <w:t xml:space="preserve">Journal officiel de l’Union européenne</w:t>
      </w:r>
      <w:r>
        <w:t xml:space="preserve">, L, 12 juillet 2024. Notamment art. 3 (point 63), chapitre V (art. 51 à 56), art. 101 et 113. Disponible à l’adresse : https://eur-lex.europa.eu/eli/reg/2024/1689/oj?locale=fr</w:t>
      </w:r>
    </w:p>
    <w:p>
      <w:pPr>
        <w:pStyle w:val="BodyText"/>
      </w:pPr>
      <w:r>
        <w:t xml:space="preserve">[5] UNION EUROPÉENNE. Traité sur le fonctionnement de l’Union européenne (version consolidée), art. 288 et 294.</w:t>
      </w:r>
      <w:r>
        <w:t xml:space="preserve"> </w:t>
      </w:r>
      <w:r>
        <w:rPr>
          <w:iCs/>
          <w:i/>
        </w:rPr>
        <w:t xml:space="preserve">Journal officiel de l’Union européenne</w:t>
      </w:r>
      <w:r>
        <w:t xml:space="preserve">, C 202, 7 juin 2016. Disponible à l’adresse : https://eur-lex.europa.eu/legal-content/FR/TXT/?uri=CELEX:12016E/TXT</w:t>
      </w:r>
    </w:p>
    <w:p>
      <w:pPr>
        <w:pStyle w:val="BodyText"/>
      </w:pPr>
      <w:r>
        <w:t xml:space="preserve">[6] PARLEMENT EUROPÉEN. Observatoire législatif (OEIL).</w:t>
      </w:r>
      <w:r>
        <w:t xml:space="preserve"> </w:t>
      </w:r>
      <w:r>
        <w:rPr>
          <w:iCs/>
          <w:i/>
        </w:rPr>
        <w:t xml:space="preserve">Fiche de procédure 2021/0106(COD) – Législation sur l’intelligence artificielle</w:t>
      </w:r>
      <w:r>
        <w:t xml:space="preserve"> </w:t>
      </w:r>
      <w:r>
        <w:t xml:space="preserve">[en ligne]. [Consulté le 12 octobre 2026]. Disponible à l’adresse : https://oeil.europarl.europa.eu (rechercher « 2021/0106(COD) »)</w:t>
      </w:r>
    </w:p>
    <w:p>
      <w:pPr>
        <w:pStyle w:val="BodyText"/>
      </w:pPr>
      <w:r>
        <w:t xml:space="preserve">[7] CONSEIL DE L’UNION EUROPÉENNE. « Artificial intelligence – timeline » [en ligne]. Communiqués de presse du 9 décembre 2023 (accord provisoire) et du 21 mai 2024 (adoption définitive). [Consulté le 12 octobre 2026]. Disponible à l’adresse : https://www.consilium.europa.eu/en/policies/artificial-intelligence/timeline-artificial-intelligence/</w:t>
      </w:r>
    </w:p>
    <w:p>
      <w:pPr>
        <w:pStyle w:val="BodyText"/>
      </w:pPr>
      <w:r>
        <w:t xml:space="preserve">[8] PARLEMENT EUROPÉEN.</w:t>
      </w:r>
      <w:r>
        <w:t xml:space="preserve"> </w:t>
      </w:r>
      <w:r>
        <w:rPr>
          <w:iCs/>
          <w:i/>
        </w:rPr>
        <w:t xml:space="preserve">Résolution législative du Parlement européen du 13 mars 2024 sur la proposition de règlement […] établissant des règles harmonisées concernant l’intelligence artificielle</w:t>
      </w:r>
      <w:r>
        <w:t xml:space="preserve">. P9_TA(2024)0138. Disponible à l’adresse : https://www.europarl.europa.eu/doceo/document/TA-9-2024-0138_FR.html</w:t>
      </w:r>
    </w:p>
    <w:p>
      <w:pPr>
        <w:pStyle w:val="BodyText"/>
      </w:pPr>
      <w:r>
        <w:t xml:space="preserve">[9] COMMISSION EUROPÉENNE. AI Act Service Desk. « Calendrier de mise en œuvre de la législation de l’UE sur l’IA » [en ligne]. [Consulté le 12 octobre 2026]. Disponible à l’adresse : https://ai-act-service-desk.ec.europa.eu/fr/ai-act/timeline/calendrier-de-mise-en-oeuvre-de-la-legislation-de-lue-sur-lia</w:t>
      </w:r>
    </w:p>
    <w:bookmarkEnd w:id="25"/>
    <w:bookmarkEnd w:id="26"/>
    <w:bookmarkEnd w:id="27"/>
    <w:bookmarkStart w:id="34" w:name="bản-tiếng-việt"/>
    <w:p>
      <w:pPr>
        <w:pStyle w:val="Heading1"/>
      </w:pPr>
      <w:r>
        <w:t xml:space="preserve">BẢN TIẾNG VIỆT</w:t>
      </w:r>
    </w:p>
    <w:bookmarkStart w:id="33" w:name="bối-cảnh-và-quyết-định-công-nhi"/>
    <w:p>
      <w:pPr>
        <w:pStyle w:val="Heading2"/>
      </w:pPr>
      <w:r>
        <w:t xml:space="preserve">1. Bối cảnh và quyết định công (Nhi)</w:t>
      </w:r>
    </w:p>
    <w:bookmarkStart w:id="28" w:name="bối-cảnh-sự-bùng-nổ-của-ai-tạo-sinh"/>
    <w:p>
      <w:pPr>
        <w:pStyle w:val="Heading3"/>
      </w:pPr>
      <w:r>
        <w:t xml:space="preserve">1.1. Bối cảnh: sự bùng nổ của AI tạo sinh</w:t>
      </w:r>
    </w:p>
    <w:p>
      <w:pPr>
        <w:pStyle w:val="FirstParagraph"/>
      </w:pPr>
      <w:r>
        <w:t xml:space="preserve">Ngày 30/11/2022, OpenAI ra mắt ChatGPT, đạt khoảng 100 triệu người dùng sau hai tháng, theo ước tính của ngân hàng UBS [1]. Các công cụ này dựa trên</w:t>
      </w:r>
      <w:r>
        <w:t xml:space="preserve"> </w:t>
      </w:r>
      <w:r>
        <w:t xml:space="preserve">“</w:t>
      </w:r>
      <w:r>
        <w:t xml:space="preserve">mô hình AI đa dụng</w:t>
      </w:r>
      <w:r>
        <w:t xml:space="preserve">”</w:t>
      </w:r>
      <w:r>
        <w:t xml:space="preserve"> </w:t>
      </w:r>
      <w:r>
        <w:t xml:space="preserve">(tiếng Anh:</w:t>
      </w:r>
      <w:r>
        <w:t xml:space="preserve"> </w:t>
      </w:r>
      <w:r>
        <w:rPr>
          <w:iCs/>
          <w:i/>
        </w:rPr>
        <w:t xml:space="preserve">general-purpose AI</w:t>
      </w:r>
      <w:r>
        <w:t xml:space="preserve">, viết tắt GPAI), như GPT-4, Gemini hay Llama: một mô hình duy nhất có thể làm rất nhiều việc khác nhau và làm nền cho hàng nghìn ứng dụng. Thị trường này do một số ít công ty, chủ yếu của Mỹ, chi phối: năm 2023, có 61 mô hình AI đáng chú ý đến từ Mỹ, so với 21 mô hình từ Liên minh châu Âu [2]. Ở châu Âu, các đối thủ chính lúc đó là Mistral AI (Pháp) và Aleph Alpha (Đức).</w:t>
      </w:r>
    </w:p>
    <w:bookmarkEnd w:id="28"/>
    <w:bookmarkStart w:id="29" w:name="vấn-đề-công"/>
    <w:p>
      <w:pPr>
        <w:pStyle w:val="Heading3"/>
      </w:pPr>
      <w:r>
        <w:t xml:space="preserve">1.2. Vấn đề công</w:t>
      </w:r>
    </w:p>
    <w:p>
      <w:pPr>
        <w:pStyle w:val="FirstParagraph"/>
      </w:pPr>
      <w:r>
        <w:t xml:space="preserve">Tháng 4/2021, Ủy ban châu Âu đề xuất quản lý AI theo mức độ rủi ro của từng mục đích sử dụng [3]. Nhưng mô hình đa dụng không có một mục đích duy nhất, nên phần lớn nằm ngoài khuôn khổ này. Trong khi đó, nó lại gây ra những rủi ro mới: tin giả và deepfake, dùng tác phẩm mà không tôn trọng quyền tác giả, thiếu minh bạch về dữ liệu huấn luyện, và với các mô hình mạnh nhất là những rủi ro</w:t>
      </w:r>
      <w:r>
        <w:t xml:space="preserve"> </w:t>
      </w:r>
      <w:r>
        <w:t xml:space="preserve">“</w:t>
      </w:r>
      <w:r>
        <w:t xml:space="preserve">hệ thống</w:t>
      </w:r>
      <w:r>
        <w:t xml:space="preserve">”</w:t>
      </w:r>
      <w:r>
        <w:t xml:space="preserve"> </w:t>
      </w:r>
      <w:r>
        <w:t xml:space="preserve">[4].</w:t>
      </w:r>
    </w:p>
    <w:p>
      <w:pPr>
        <w:pStyle w:val="BodyText"/>
      </w:pPr>
      <w:r>
        <w:t xml:space="preserve">Từ đó nảy sinh câu hỏi trung tâm của trận chiến: nên quản lý bản thân mô hình hay chỉ quản lý cách sử dụng nó, và quản lý đến mức nào để không kìm hãm đổi mới sáng tạo của châu Âu?</w:t>
      </w:r>
    </w:p>
    <w:bookmarkEnd w:id="29"/>
    <w:bookmarkStart w:id="30" w:name="quyết-định-công"/>
    <w:p>
      <w:pPr>
        <w:pStyle w:val="Heading3"/>
      </w:pPr>
      <w:r>
        <w:t xml:space="preserve">1.3. Quyết định công</w:t>
      </w:r>
    </w:p>
    <w:p>
      <w:pPr>
        <w:pStyle w:val="FirstParagraph"/>
      </w:pPr>
      <w:r>
        <w:t xml:space="preserve">Đó là Quy định (EU) 2024/1689 ngày 13/6/2024, tức AI Act, cụ thể là chương V (điều 51 đến 56), quy định các nghĩa vụ của nhà cung cấp mô hình AI đa dụng [4]. Một</w:t>
      </w:r>
      <w:r>
        <w:t xml:space="preserve"> </w:t>
      </w:r>
      <w:r>
        <w:t xml:space="preserve">“</w:t>
      </w:r>
      <w:r>
        <w:t xml:space="preserve">règlement</w:t>
      </w:r>
      <w:r>
        <w:t xml:space="preserve">”</w:t>
      </w:r>
      <w:r>
        <w:t xml:space="preserve"> </w:t>
      </w:r>
      <w:r>
        <w:t xml:space="preserve">áp dụng trực tiếp tại 27 nước thành viên mà không cần chuyển hóa vào luật quốc gia [5]: cả Liên minh dùng chung một luật, nên lợi ích đặt ra cho các bên là rất lớn.</w:t>
      </w:r>
    </w:p>
    <w:bookmarkEnd w:id="30"/>
    <w:bookmarkStart w:id="31" w:name="các-thể-chế-và-mốc-thời-gian-chính"/>
    <w:p>
      <w:pPr>
        <w:pStyle w:val="Heading3"/>
      </w:pPr>
      <w:r>
        <w:t xml:space="preserve">1.4. Các thể chế và mốc thời gian chính</w:t>
      </w:r>
    </w:p>
    <w:p>
      <w:pPr>
        <w:pStyle w:val="FirstParagraph"/>
      </w:pPr>
      <w:r>
        <w:t xml:space="preserve">Văn bản được thông qua theo thủ tục lập pháp thông thường [5]: Ủy ban đề xuất, sau đó Nghị viện châu Âu và Hội đồng EU cùng quyết định, qua các vòng đàm phán không chính thức giữa ba thể chế, gọi là</w:t>
      </w:r>
      <w:r>
        <w:t xml:space="preserve"> </w:t>
      </w:r>
      <w:r>
        <w:t xml:space="preserve">“</w:t>
      </w:r>
      <w:r>
        <w:t xml:space="preserve">trilogue</w:t>
      </w:r>
      <w:r>
        <w:t xml:space="preserve">”</w:t>
      </w:r>
      <w:r>
        <w:t xml:space="preserve"> </w:t>
      </w:r>
      <w:r>
        <w:t xml:space="preserve">[6].</w:t>
      </w:r>
    </w:p>
    <w:p>
      <w:pPr>
        <w:numPr>
          <w:ilvl w:val="0"/>
          <w:numId w:val="1002"/>
        </w:numPr>
        <w:pStyle w:val="Compact"/>
      </w:pPr>
      <w:r>
        <w:t xml:space="preserve">21/4/2021: Ủy ban đưa ra đề xuất [3]</w:t>
      </w:r>
    </w:p>
    <w:p>
      <w:pPr>
        <w:numPr>
          <w:ilvl w:val="0"/>
          <w:numId w:val="1002"/>
        </w:numPr>
        <w:pStyle w:val="Compact"/>
      </w:pPr>
      <w:r>
        <w:t xml:space="preserve">8/12/2023: thỏa thuận chính trị trong trilogue (thời điểm then chốt) [7]</w:t>
      </w:r>
    </w:p>
    <w:p>
      <w:pPr>
        <w:numPr>
          <w:ilvl w:val="0"/>
          <w:numId w:val="1002"/>
        </w:numPr>
        <w:pStyle w:val="Compact"/>
      </w:pPr>
      <w:r>
        <w:t xml:space="preserve">13/3/2024: Nghị viện bỏ phiếu thông qua [8]; 21/5/2024: Hội đồng thông qua [7]</w:t>
      </w:r>
    </w:p>
    <w:p>
      <w:pPr>
        <w:numPr>
          <w:ilvl w:val="0"/>
          <w:numId w:val="1002"/>
        </w:numPr>
        <w:pStyle w:val="Compact"/>
      </w:pPr>
      <w:r>
        <w:t xml:space="preserve">1/8/2024: luật có hiệu lực [9]</w:t>
      </w:r>
    </w:p>
    <w:p>
      <w:pPr>
        <w:numPr>
          <w:ilvl w:val="0"/>
          <w:numId w:val="1002"/>
        </w:numPr>
        <w:pStyle w:val="Compact"/>
      </w:pPr>
      <w:r>
        <w:t xml:space="preserve">2/8/2025: các quy định về mô hình AI đa dụng bắt đầu áp dụng [9]</w:t>
      </w:r>
    </w:p>
    <w:p>
      <w:pPr>
        <w:numPr>
          <w:ilvl w:val="0"/>
          <w:numId w:val="1002"/>
        </w:numPr>
        <w:pStyle w:val="Compact"/>
      </w:pPr>
      <w:r>
        <w:t xml:space="preserve">2/8/2026: Văn phòng AI châu Âu (thuộc Ủy ban) có quyền xử phạt [4] [9]</w:t>
      </w:r>
    </w:p>
    <w:bookmarkEnd w:id="31"/>
    <w:bookmarkStart w:id="32" w:name="câu-hỏi-nghiên-cứu-problématique"/>
    <w:p>
      <w:pPr>
        <w:pStyle w:val="Heading3"/>
      </w:pPr>
      <w:r>
        <w:t xml:space="preserve">1.5. Câu hỏi nghiên cứu (problématique)</w:t>
      </w:r>
    </w:p>
    <w:p>
      <w:pPr>
        <w:pStyle w:val="FirstParagraph"/>
      </w:pPr>
      <w:r>
        <w:t xml:space="preserve">Câu hỏi này đã khiến các thể chế châu Âu, nhiều nước thành viên và các doanh nghiệp trong ngành đối đầu nhau. Từ đó, câu hỏi nghiên cứu của nhóm là: ai đã thành công trong việc tác động đến các quy định dành cho mô hình AI lớn trong AI Act, và bằng những cách nào?</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Sujet 11 — Partie 1 : Contexte et décision publique (Nhi)</dc:title>
  <dc:creator/>
  <cp:keywords/>
  <dcterms:created xsi:type="dcterms:W3CDTF">2026-10-12T14:44:33Z</dcterms:created>
  <dcterms:modified xsi:type="dcterms:W3CDTF">2026-10-12T14:44:33Z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courte avec sources (norme ISO 690, appel numérique)</vt:lpwstr>
  </property>
</Properties>
</file>