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Relecture</w:t>
      </w:r>
      <w:r>
        <w:t xml:space="preserve"> </w:t>
      </w:r>
      <w:r>
        <w:t xml:space="preserve">n°</w:t>
      </w:r>
      <w:r>
        <w:t xml:space="preserve"> </w:t>
      </w:r>
      <w:r>
        <w:t xml:space="preserve">3</w:t>
      </w:r>
      <w:r>
        <w:t xml:space="preserve"> </w:t>
      </w:r>
      <w:r>
        <w:t xml:space="preserve">—</w:t>
      </w:r>
      <w:r>
        <w:t xml:space="preserve"> </w:t>
      </w:r>
      <w:r>
        <w:t xml:space="preserve">Docs</w:t>
      </w:r>
      <w:r>
        <w:t xml:space="preserve"> </w:t>
      </w:r>
      <w:r>
        <w:t xml:space="preserve">et</w:t>
      </w:r>
      <w:r>
        <w:t xml:space="preserve"> </w:t>
      </w:r>
      <w:r>
        <w:t xml:space="preserve">slides</w:t>
      </w:r>
      <w:r>
        <w:t xml:space="preserve"> </w:t>
      </w:r>
      <w:r>
        <w:t xml:space="preserve">du</w:t>
      </w:r>
      <w:r>
        <w:t xml:space="preserve"> </w:t>
      </w:r>
      <w:r>
        <w:t xml:space="preserve">sujet</w:t>
      </w:r>
      <w:r>
        <w:t xml:space="preserve"> </w:t>
      </w:r>
      <w:r>
        <w:t xml:space="preserve">11</w:t>
      </w:r>
    </w:p>
    <w:p>
      <w:pPr>
        <w:pStyle w:val="Subtitle"/>
      </w:pPr>
      <w:r>
        <w:t xml:space="preserve">IA</w:t>
      </w:r>
      <w:r>
        <w:t xml:space="preserve"> </w:t>
      </w:r>
      <w:r>
        <w:t xml:space="preserve">générative</w:t>
      </w:r>
      <w:r>
        <w:t xml:space="preserve"> </w:t>
      </w:r>
      <w:r>
        <w:t xml:space="preserve">:</w:t>
      </w:r>
      <w:r>
        <w:t xml:space="preserve"> </w:t>
      </w:r>
      <w:r>
        <w:t xml:space="preserve">la</w:t>
      </w:r>
      <w:r>
        <w:t xml:space="preserve"> </w:t>
      </w:r>
      <w:r>
        <w:t xml:space="preserve">bataille</w:t>
      </w:r>
      <w:r>
        <w:t xml:space="preserve"> </w:t>
      </w:r>
      <w:r>
        <w:t xml:space="preserve">autour</w:t>
      </w:r>
      <w:r>
        <w:t xml:space="preserve"> </w:t>
      </w:r>
      <w:r>
        <w:t xml:space="preserve">des</w:t>
      </w:r>
      <w:r>
        <w:t xml:space="preserve"> </w:t>
      </w:r>
      <w:r>
        <w:t xml:space="preserve">règles</w:t>
      </w:r>
      <w:r>
        <w:t xml:space="preserve"> </w:t>
      </w:r>
      <w:r>
        <w:t xml:space="preserve">applicables</w:t>
      </w:r>
      <w:r>
        <w:t xml:space="preserve"> </w:t>
      </w:r>
      <w:r>
        <w:t xml:space="preserve">aux</w:t>
      </w:r>
      <w:r>
        <w:t xml:space="preserve"> </w:t>
      </w:r>
      <w:r>
        <w:t xml:space="preserve">grands</w:t>
      </w:r>
      <w:r>
        <w:t xml:space="preserve"> </w:t>
      </w:r>
      <w:r>
        <w:t xml:space="preserve">modèles</w:t>
      </w:r>
      <w:r>
        <w:t xml:space="preserve"> </w:t>
      </w:r>
      <w:r>
        <w:t xml:space="preserve">d’IA</w:t>
      </w:r>
    </w:p>
    <w:p>
      <w:pPr>
        <w:pStyle w:val="FirstParagraph"/>
      </w:pPr>
      <w:r>
        <w:rPr>
          <w:bCs/>
          <w:b/>
        </w:rPr>
        <w:t xml:space="preserve">Méthode.</w:t>
      </w:r>
      <w:r>
        <w:t xml:space="preserve"> </w:t>
      </w:r>
      <w:r>
        <w:t xml:space="preserve">Le docs (Google Docs) et les slides (Canva) ont été comparés point par point avec la consigne du prof (diapositives « Quelques précisions » et « Les attendus des exposés »). Seules les erreurs importantes sont relevées ; les détails de forme sont laissés de côté. Relecture réalisée avec l’aide d’une IA, puis vérifiée.</w:t>
      </w:r>
    </w:p>
    <w:bookmarkStart w:id="20" w:name="taux-de-réalisation-estimé"/>
    <w:p>
      <w:pPr>
        <w:pStyle w:val="Heading1"/>
      </w:pPr>
      <w:r>
        <w:t xml:space="preserve">1. Taux de réalisation estimé</w:t>
      </w:r>
    </w:p>
    <w:p>
      <w:pPr>
        <w:pStyle w:val="FirstParagraph"/>
      </w:pPr>
      <w:r>
        <w:t xml:space="preserve">Chacune des cinq parties demandées par le prof compte pour 20 %. Dans chaque partie, on vérifie si les sous-questions de la consigne sont traitées.</w:t>
      </w:r>
    </w:p>
    <w:tbl>
      <w:tblPr>
        <w:tblStyle w:val="Table"/>
        <w:tblW w:type="pct" w:w="5000"/>
        <w:tblLook w:firstRow="1" w:lastRow="0" w:firstColumn="0" w:lastColumn="0" w:noHBand="0" w:noVBand="0" w:val="0020"/>
        <w:jc w:val="start"/>
      </w:tblPr>
      <w:tblGrid>
        <w:gridCol w:w="1760"/>
        <w:gridCol w:w="990"/>
        <w:gridCol w:w="990"/>
        <w:gridCol w:w="4180"/>
      </w:tblGrid>
      <w:tr>
        <w:trPr>
          <w:tblHeader w:val="true"/>
        </w:trPr>
        <w:tc>
          <w:tcPr/>
          <w:p>
            <w:pPr>
              <w:pStyle w:val="Compact"/>
              <w:jc w:val="left"/>
            </w:pPr>
            <w:r>
              <w:t xml:space="preserve">Partie</w:t>
            </w:r>
          </w:p>
        </w:tc>
        <w:tc>
          <w:tcPr/>
          <w:p>
            <w:pPr>
              <w:pStyle w:val="Compact"/>
              <w:jc w:val="left"/>
            </w:pPr>
            <w:r>
              <w:t xml:space="preserve">Docs</w:t>
            </w:r>
          </w:p>
        </w:tc>
        <w:tc>
          <w:tcPr/>
          <w:p>
            <w:pPr>
              <w:pStyle w:val="Compact"/>
              <w:jc w:val="left"/>
            </w:pPr>
            <w:r>
              <w:t xml:space="preserve">Slides</w:t>
            </w:r>
          </w:p>
        </w:tc>
        <w:tc>
          <w:tcPr/>
          <w:p>
            <w:pPr>
              <w:pStyle w:val="Compact"/>
              <w:jc w:val="left"/>
            </w:pPr>
            <w:r>
              <w:t xml:space="preserve">Ce qui manque pour atteindre 100 %</w:t>
            </w:r>
          </w:p>
        </w:tc>
      </w:tr>
      <w:tr>
        <w:tc>
          <w:tcPr/>
          <w:p>
            <w:pPr>
              <w:pStyle w:val="Compact"/>
              <w:jc w:val="left"/>
            </w:pPr>
            <w:r>
              <w:t xml:space="preserve">1. Contexte et décision</w:t>
            </w:r>
          </w:p>
        </w:tc>
        <w:tc>
          <w:tcPr/>
          <w:p>
            <w:pPr>
              <w:pStyle w:val="Compact"/>
              <w:jc w:val="left"/>
            </w:pPr>
            <w:r>
              <w:t xml:space="preserve">100 %</w:t>
            </w:r>
          </w:p>
        </w:tc>
        <w:tc>
          <w:tcPr/>
          <w:p>
            <w:pPr>
              <w:pStyle w:val="Compact"/>
              <w:jc w:val="left"/>
            </w:pPr>
            <w:r>
              <w:t xml:space="preserve">100 %</w:t>
            </w:r>
          </w:p>
        </w:tc>
        <w:tc>
          <w:tcPr/>
          <w:p>
            <w:pPr>
              <w:pStyle w:val="Compact"/>
              <w:jc w:val="left"/>
            </w:pPr>
            <w:r>
              <w:t xml:space="preserve">—</w:t>
            </w:r>
          </w:p>
        </w:tc>
      </w:tr>
      <w:tr>
        <w:tc>
          <w:tcPr/>
          <w:p>
            <w:pPr>
              <w:pStyle w:val="Compact"/>
              <w:jc w:val="left"/>
            </w:pPr>
            <w:r>
              <w:t xml:space="preserve">2. Enjeux</w:t>
            </w:r>
          </w:p>
        </w:tc>
        <w:tc>
          <w:tcPr/>
          <w:p>
            <w:pPr>
              <w:pStyle w:val="Compact"/>
              <w:jc w:val="left"/>
            </w:pPr>
            <w:r>
              <w:t xml:space="preserve">90 %</w:t>
            </w:r>
          </w:p>
        </w:tc>
        <w:tc>
          <w:tcPr/>
          <w:p>
            <w:pPr>
              <w:pStyle w:val="Compact"/>
              <w:jc w:val="left"/>
            </w:pPr>
            <w:r>
              <w:t xml:space="preserve">85 %</w:t>
            </w:r>
          </w:p>
        </w:tc>
        <w:tc>
          <w:tcPr/>
          <w:p>
            <w:pPr>
              <w:pStyle w:val="Compact"/>
              <w:jc w:val="left"/>
            </w:pPr>
            <w:r>
              <w:t xml:space="preserve">Docs : pas de sources. Slide : la position des start-up européennes n’apparaît pas.</w:t>
            </w:r>
          </w:p>
        </w:tc>
      </w:tr>
      <w:tr>
        <w:tc>
          <w:tcPr/>
          <w:p>
            <w:pPr>
              <w:pStyle w:val="Compact"/>
              <w:jc w:val="left"/>
            </w:pPr>
            <w:r>
              <w:t xml:space="preserve">3. Acteurs</w:t>
            </w:r>
          </w:p>
        </w:tc>
        <w:tc>
          <w:tcPr/>
          <w:p>
            <w:pPr>
              <w:pStyle w:val="Compact"/>
              <w:jc w:val="left"/>
            </w:pPr>
            <w:r>
              <w:t xml:space="preserve">40 %</w:t>
            </w:r>
          </w:p>
        </w:tc>
        <w:tc>
          <w:tcPr/>
          <w:p>
            <w:pPr>
              <w:pStyle w:val="Compact"/>
              <w:jc w:val="left"/>
            </w:pPr>
            <w:r>
              <w:t xml:space="preserve">40 %</w:t>
            </w:r>
          </w:p>
        </w:tc>
        <w:tc>
          <w:tcPr/>
          <w:p>
            <w:pPr>
              <w:pStyle w:val="Compact"/>
              <w:jc w:val="left"/>
            </w:pPr>
            <w:r>
              <w:t xml:space="preserve">États membres absents, institutions regroupées, fédérations absentes, positions générales, pas de vraie cartographie, pas de sources</w:t>
            </w:r>
          </w:p>
        </w:tc>
      </w:tr>
      <w:tr>
        <w:tc>
          <w:tcPr/>
          <w:p>
            <w:pPr>
              <w:pStyle w:val="Compact"/>
              <w:jc w:val="left"/>
            </w:pPr>
            <w:r>
              <w:t xml:space="preserve">4. Déroulé et lobbying</w:t>
            </w:r>
          </w:p>
        </w:tc>
        <w:tc>
          <w:tcPr/>
          <w:p>
            <w:pPr>
              <w:pStyle w:val="Compact"/>
              <w:jc w:val="left"/>
            </w:pPr>
            <w:r>
              <w:t xml:space="preserve">70 %</w:t>
            </w:r>
          </w:p>
        </w:tc>
        <w:tc>
          <w:tcPr/>
          <w:p>
            <w:pPr>
              <w:pStyle w:val="Compact"/>
              <w:jc w:val="left"/>
            </w:pPr>
            <w:r>
              <w:t xml:space="preserve">65 %</w:t>
            </w:r>
          </w:p>
        </w:tc>
        <w:tc>
          <w:tcPr/>
          <w:p>
            <w:pPr>
              <w:pStyle w:val="Compact"/>
              <w:jc w:val="left"/>
            </w:pPr>
            <w:r>
              <w:t xml:space="preserve">Erreur de date, tournant de novembre 2023 absent de la chronologie, deux actions sans trace concrète, sources incomplètes. Slide : titres d’encadrés inversés.</w:t>
            </w:r>
          </w:p>
        </w:tc>
      </w:tr>
      <w:tr>
        <w:tc>
          <w:tcPr/>
          <w:p>
            <w:pPr>
              <w:pStyle w:val="Compact"/>
              <w:jc w:val="left"/>
            </w:pPr>
            <w:r>
              <w:t xml:space="preserve">5. Résultat et enseignements</w:t>
            </w:r>
          </w:p>
        </w:tc>
        <w:tc>
          <w:tcPr/>
          <w:p>
            <w:pPr>
              <w:pStyle w:val="Compact"/>
              <w:jc w:val="left"/>
            </w:pPr>
            <w:r>
              <w:t xml:space="preserve">0 %</w:t>
            </w:r>
          </w:p>
        </w:tc>
        <w:tc>
          <w:tcPr/>
          <w:p>
            <w:pPr>
              <w:pStyle w:val="Compact"/>
              <w:jc w:val="left"/>
            </w:pPr>
            <w:r>
              <w:t xml:space="preserve">0 %</w:t>
            </w:r>
          </w:p>
        </w:tc>
        <w:tc>
          <w:tcPr/>
          <w:p>
            <w:pPr>
              <w:pStyle w:val="Compact"/>
              <w:jc w:val="left"/>
            </w:pPr>
            <w:r>
              <w:t xml:space="preserve">Partie non rédigée</w:t>
            </w:r>
          </w:p>
        </w:tc>
      </w:tr>
      <w:tr>
        <w:tc>
          <w:tcPr/>
          <w:p>
            <w:pPr>
              <w:pStyle w:val="Compact"/>
              <w:jc w:val="left"/>
            </w:pPr>
            <w:r>
              <w:rPr>
                <w:bCs/>
                <w:b/>
              </w:rPr>
              <w:t xml:space="preserve">Total</w:t>
            </w:r>
          </w:p>
        </w:tc>
        <w:tc>
          <w:tcPr/>
          <w:p>
            <w:pPr>
              <w:pStyle w:val="Compact"/>
              <w:jc w:val="left"/>
            </w:pPr>
            <w:r>
              <w:rPr>
                <w:bCs/>
                <w:b/>
              </w:rPr>
              <w:t xml:space="preserve">≈ 60 %</w:t>
            </w:r>
          </w:p>
        </w:tc>
        <w:tc>
          <w:tcPr/>
          <w:p>
            <w:pPr>
              <w:pStyle w:val="Compact"/>
              <w:jc w:val="left"/>
            </w:pPr>
            <w:r>
              <w:rPr>
                <w:bCs/>
                <w:b/>
              </w:rPr>
              <w:t xml:space="preserve">≈ 58 %</w:t>
            </w:r>
          </w:p>
        </w:tc>
        <w:tc>
          <w:tcPr/>
          <w:p>
            <w:pPr>
              <w:pStyle w:val="Compact"/>
            </w:pPr>
          </w:p>
        </w:tc>
      </w:tr>
    </w:tbl>
    <w:p>
      <w:pPr>
        <w:pStyle w:val="BodyText"/>
      </w:pPr>
      <w:r>
        <w:rPr>
          <w:bCs/>
          <w:b/>
        </w:rPr>
        <w:t xml:space="preserve">Estimation globale : environ 60 % de la consigne est couvert.</w:t>
      </w:r>
      <w:r>
        <w:t xml:space="preserve"> </w:t>
      </w:r>
      <w:r>
        <w:t xml:space="preserve">Ce chiffre est une estimation. Les parties 3 et 5 représentent à elles seules 40 % de l’exposé et concentrent l’essentiel de l’écart.</w:t>
      </w:r>
    </w:p>
    <w:bookmarkEnd w:id="20"/>
    <w:bookmarkStart w:id="21" w:name="X362b8cbcf9fbf6d34df49159a2c24ff31d065b5"/>
    <w:p>
      <w:pPr>
        <w:pStyle w:val="Heading1"/>
      </w:pPr>
      <w:r>
        <w:t xml:space="preserve">2. Conformité aux exigences générales du prof</w:t>
      </w:r>
    </w:p>
    <w:tbl>
      <w:tblPr>
        <w:tblStyle w:val="Table"/>
        <w:tblW w:type="pct" w:w="5000"/>
        <w:tblLook w:firstRow="1" w:lastRow="0" w:firstColumn="0" w:lastColumn="0" w:noHBand="0" w:noVBand="0" w:val="0020"/>
        <w:jc w:val="start"/>
      </w:tblPr>
      <w:tblGrid>
        <w:gridCol w:w="2140"/>
        <w:gridCol w:w="1284"/>
        <w:gridCol w:w="4495"/>
      </w:tblGrid>
      <w:tr>
        <w:trPr>
          <w:tblHeader w:val="true"/>
        </w:trPr>
        <w:tc>
          <w:tcPr/>
          <w:p>
            <w:pPr>
              <w:pStyle w:val="Compact"/>
              <w:jc w:val="left"/>
            </w:pPr>
            <w:r>
              <w:t xml:space="preserve">Exigence du prof</w:t>
            </w:r>
          </w:p>
        </w:tc>
        <w:tc>
          <w:tcPr/>
          <w:p>
            <w:pPr>
              <w:pStyle w:val="Compact"/>
              <w:jc w:val="left"/>
            </w:pPr>
            <w:r>
              <w:t xml:space="preserve">État</w:t>
            </w:r>
          </w:p>
        </w:tc>
        <w:tc>
          <w:tcPr/>
          <w:p>
            <w:pPr>
              <w:pStyle w:val="Compact"/>
              <w:jc w:val="left"/>
            </w:pPr>
            <w:r>
              <w:t xml:space="preserve">Constat</w:t>
            </w:r>
          </w:p>
        </w:tc>
      </w:tr>
      <w:tr>
        <w:tc>
          <w:tcPr/>
          <w:p>
            <w:pPr>
              <w:pStyle w:val="Compact"/>
              <w:jc w:val="left"/>
            </w:pPr>
            <w:r>
              <w:t xml:space="preserve">Décision publique précise, identifiable et documentée</w:t>
            </w:r>
          </w:p>
        </w:tc>
        <w:tc>
          <w:tcPr/>
          <w:p>
            <w:pPr>
              <w:pStyle w:val="Compact"/>
              <w:jc w:val="left"/>
            </w:pPr>
            <w:r>
              <w:t xml:space="preserve">Conforme</w:t>
            </w:r>
          </w:p>
        </w:tc>
        <w:tc>
          <w:tcPr/>
          <w:p>
            <w:pPr>
              <w:pStyle w:val="Compact"/>
              <w:jc w:val="left"/>
            </w:pPr>
            <w:r>
              <w:t xml:space="preserve">Règlement (UE) 2024/1689, chapitre V, avec sources officielles</w:t>
            </w:r>
          </w:p>
        </w:tc>
      </w:tr>
      <w:tr>
        <w:tc>
          <w:tcPr/>
          <w:p>
            <w:pPr>
              <w:pStyle w:val="Compact"/>
              <w:jc w:val="left"/>
            </w:pPr>
            <w:r>
              <w:t xml:space="preserve">Analyser une bataille, pas « un simple exposé descriptif »</w:t>
            </w:r>
          </w:p>
        </w:tc>
        <w:tc>
          <w:tcPr/>
          <w:p>
            <w:pPr>
              <w:pStyle w:val="Compact"/>
              <w:jc w:val="left"/>
            </w:pPr>
            <w:r>
              <w:t xml:space="preserve">Partiellement conforme</w:t>
            </w:r>
          </w:p>
        </w:tc>
        <w:tc>
          <w:tcPr/>
          <w:p>
            <w:pPr>
              <w:pStyle w:val="Compact"/>
              <w:jc w:val="left"/>
            </w:pPr>
            <w:r>
              <w:t xml:space="preserve">Les parties 1, 2 et 4 montrent des oppositions et des intérêts. La partie 3 décrit des catégories générales sans les placer dans la bataille. La partie 5, où se trouve l’analyse finale, est absente.</w:t>
            </w:r>
          </w:p>
        </w:tc>
      </w:tr>
      <w:tr>
        <w:tc>
          <w:tcPr/>
          <w:p>
            <w:pPr>
              <w:pStyle w:val="Compact"/>
              <w:jc w:val="left"/>
            </w:pPr>
            <w:r>
              <w:t xml:space="preserve">5 slides maximum</w:t>
            </w:r>
          </w:p>
        </w:tc>
        <w:tc>
          <w:tcPr/>
          <w:p>
            <w:pPr>
              <w:pStyle w:val="Compact"/>
              <w:jc w:val="left"/>
            </w:pPr>
            <w:r>
              <w:t xml:space="preserve">À vérifier</w:t>
            </w:r>
          </w:p>
        </w:tc>
        <w:tc>
          <w:tcPr/>
          <w:p>
            <w:pPr>
              <w:pStyle w:val="Compact"/>
              <w:jc w:val="left"/>
            </w:pPr>
            <w:r>
              <w:t xml:space="preserve">Le fichier Canva compte 6 pages avec la couverture. Il faut demander au prof si la couverture compte.</w:t>
            </w:r>
          </w:p>
        </w:tc>
      </w:tr>
      <w:tr>
        <w:tc>
          <w:tcPr/>
          <w:p>
            <w:pPr>
              <w:pStyle w:val="Compact"/>
              <w:jc w:val="left"/>
            </w:pPr>
            <w:r>
              <w:t xml:space="preserve">10 à 12 minutes</w:t>
            </w:r>
          </w:p>
        </w:tc>
        <w:tc>
          <w:tcPr/>
          <w:p>
            <w:pPr>
              <w:pStyle w:val="Compact"/>
              <w:jc w:val="left"/>
            </w:pPr>
            <w:r>
              <w:t xml:space="preserve">Non conforme dans le docs</w:t>
            </w:r>
          </w:p>
        </w:tc>
        <w:tc>
          <w:tcPr/>
          <w:p>
            <w:pPr>
              <w:pStyle w:val="Compact"/>
              <w:jc w:val="left"/>
            </w:pPr>
            <w:r>
              <w:t xml:space="preserve">Le docs indique toujours « 8 à 10 minutes ».</w:t>
            </w:r>
          </w:p>
        </w:tc>
      </w:tr>
      <w:tr>
        <w:tc>
          <w:tcPr/>
          <w:p>
            <w:pPr>
              <w:pStyle w:val="Compact"/>
              <w:jc w:val="left"/>
            </w:pPr>
            <w:r>
              <w:t xml:space="preserve">Chaque étudiant présente une partie précise</w:t>
            </w:r>
          </w:p>
        </w:tc>
        <w:tc>
          <w:tcPr/>
          <w:p>
            <w:pPr>
              <w:pStyle w:val="Compact"/>
              <w:jc w:val="left"/>
            </w:pPr>
            <w:r>
              <w:t xml:space="preserve">Non réglé</w:t>
            </w:r>
          </w:p>
        </w:tc>
        <w:tc>
          <w:tcPr/>
          <w:p>
            <w:pPr>
              <w:pStyle w:val="Compact"/>
              <w:jc w:val="left"/>
            </w:pPr>
            <w:r>
              <w:t xml:space="preserve">La partie 5 est toujours attribuée à « TOUS ».</w:t>
            </w:r>
          </w:p>
        </w:tc>
      </w:tr>
      <w:tr>
        <w:tc>
          <w:tcPr/>
          <w:p>
            <w:pPr>
              <w:pStyle w:val="Compact"/>
              <w:jc w:val="left"/>
            </w:pPr>
            <w:r>
              <w:t xml:space="preserve">Sources</w:t>
            </w:r>
          </w:p>
        </w:tc>
        <w:tc>
          <w:tcPr/>
          <w:p>
            <w:pPr>
              <w:pStyle w:val="Compact"/>
              <w:jc w:val="left"/>
            </w:pPr>
            <w:r>
              <w:t xml:space="preserve">Partiellement conforme</w:t>
            </w:r>
          </w:p>
        </w:tc>
        <w:tc>
          <w:tcPr/>
          <w:p>
            <w:pPr>
              <w:pStyle w:val="Compact"/>
              <w:jc w:val="left"/>
            </w:pPr>
            <w:r>
              <w:t xml:space="preserve">La partie 1 (docs et slide) et la slide 2 sont sourcées. La partie 3 n’a aucune source. La partie 4 a des sources incomplètes.</w:t>
            </w:r>
          </w:p>
        </w:tc>
      </w:tr>
    </w:tbl>
    <w:bookmarkEnd w:id="21"/>
    <w:bookmarkStart w:id="27" w:name="erreurs-importantes-partie-par-partie"/>
    <w:p>
      <w:pPr>
        <w:pStyle w:val="Heading1"/>
      </w:pPr>
      <w:r>
        <w:t xml:space="preserve">3. Erreurs importantes, partie par partie</w:t>
      </w:r>
    </w:p>
    <w:bookmarkStart w:id="22" w:name="Xdec92b373488560a13492c00d9859a16a8c162b"/>
    <w:p>
      <w:pPr>
        <w:pStyle w:val="Heading2"/>
      </w:pPr>
      <w:r>
        <w:t xml:space="preserve">Partie 1 — Contexte et décision publique (Nhi)</w:t>
      </w:r>
    </w:p>
    <w:p>
      <w:pPr>
        <w:pStyle w:val="FirstParagraph"/>
      </w:pPr>
      <w:r>
        <w:t xml:space="preserve">Aucune erreur importante relevée. Les trois questions du prof (problème public, décision, institution et date) sont traitées dans le docs et sur la slide.</w:t>
      </w:r>
    </w:p>
    <w:bookmarkEnd w:id="22"/>
    <w:bookmarkStart w:id="23" w:name="partie-2-enjeux-zhiying"/>
    <w:p>
      <w:pPr>
        <w:pStyle w:val="Heading2"/>
      </w:pPr>
      <w:r>
        <w:t xml:space="preserve">Partie 2 — Enjeux (Zhiying)</w:t>
      </w:r>
    </w:p>
    <w:p>
      <w:pPr>
        <w:pStyle w:val="FirstParagraph"/>
      </w:pPr>
      <w:r>
        <w:rPr>
          <w:bCs/>
          <w:b/>
        </w:rPr>
        <w:t xml:space="preserve">2.1. La slide et le docs ne disent pas la même chose.</w:t>
      </w:r>
      <w:r>
        <w:t xml:space="preserve"> </w:t>
      </w:r>
      <w:r>
        <w:t xml:space="preserve">Le docs explique l’argument de Mistral AI et du gouvernement français : des règles lourdes créeraient une « barrière à l’entrée » que seuls les géants pourraient franchir. La slide ne montre pas cette position. Or c’est l’une des deux positions centrales de la bataille (Big Tech d’un côté, start-up européennes et États de l’autre).</w:t>
      </w:r>
    </w:p>
    <w:p>
      <w:pPr>
        <w:pStyle w:val="BlockText"/>
      </w:pPr>
      <w:r>
        <w:rPr>
          <w:bCs/>
          <w:b/>
        </w:rPr>
        <w:t xml:space="preserve">À ajouter sur la slide :</w:t>
      </w:r>
      <w:r>
        <w:t xml:space="preserve"> </w:t>
      </w:r>
      <w:r>
        <w:t xml:space="preserve">« START-UP EUROPÉENNES (Mistral AI, Aleph Alpha) → obligations allégées »</w:t>
      </w:r>
    </w:p>
    <w:bookmarkEnd w:id="23"/>
    <w:bookmarkStart w:id="24" w:name="partie-3-acteurs-aude"/>
    <w:p>
      <w:pPr>
        <w:pStyle w:val="Heading2"/>
      </w:pPr>
      <w:r>
        <w:t xml:space="preserve">Partie 3 — Acteurs (Aude)</w:t>
      </w:r>
    </w:p>
    <w:p>
      <w:pPr>
        <w:pStyle w:val="FirstParagraph"/>
      </w:pPr>
      <w:r>
        <w:t xml:space="preserve">Le docs et la slide ont le même contenu. La consigne demande quatre éléments : entreprises et fédérations ; ONG, associations et experts ; parlementaires, administrations et régulateurs ; cartographie claire des positions.</w:t>
      </w:r>
    </w:p>
    <w:p>
      <w:pPr>
        <w:pStyle w:val="BodyText"/>
      </w:pPr>
      <w:r>
        <w:rPr>
          <w:bCs/>
          <w:b/>
        </w:rPr>
        <w:t xml:space="preserve">3.1. Les acteurs qui ont fait basculer la négociation sont absents.</w:t>
      </w:r>
      <w:r>
        <w:t xml:space="preserve"> </w:t>
      </w:r>
      <w:r>
        <w:t xml:space="preserve">La France, l’Allemagne et l’Italie (au Conseil) ne figurent pas dans la partie 3. Pourtant, la slide 2 cite la France et l’Allemagne, et la slide 4 présente leur coalition de novembre 2023 comme une action de lobbying majeure.</w:t>
      </w:r>
    </w:p>
    <w:p>
      <w:pPr>
        <w:pStyle w:val="BodyText"/>
      </w:pPr>
      <w:r>
        <w:rPr>
          <w:bCs/>
          <w:b/>
        </w:rPr>
        <w:t xml:space="preserve">3.2. La ligne « Union européenne » regroupe des acteurs opposés.</w:t>
      </w:r>
      <w:r>
        <w:t xml:space="preserve"> </w:t>
      </w:r>
      <w:r>
        <w:t xml:space="preserve">Le Parlement européen voulait des obligations contraignantes pour les modèles. Plusieurs États membres au Conseil voulaient des codes de conduite. La Commission et la présidence espagnole ont cherché un compromis. Les regrouper dans une seule ligne fait disparaître l’opposition que le sujet demande d’analyser.</w:t>
      </w:r>
    </w:p>
    <w:p>
      <w:pPr>
        <w:pStyle w:val="BodyText"/>
      </w:pPr>
      <w:r>
        <w:rPr>
          <w:bCs/>
          <w:b/>
        </w:rPr>
        <w:t xml:space="preserve">3.3. Les positions ne portent pas sur la question de la bataille.</w:t>
      </w:r>
      <w:r>
        <w:t xml:space="preserve"> </w:t>
      </w:r>
      <w:r>
        <w:t xml:space="preserve">« Règles prévisibles », « obligations proportionnées » ou « transparence, sécurité » sont des positions générales. La consigne demande une « cartographie claire des positions ». Il faut donc indiquer la position de chacun sur la question centrale : faut-il des règles contraignantes pour les modèles, ou de l’autorégulation et des règles limitées aux usages ?</w:t>
      </w:r>
    </w:p>
    <w:p>
      <w:pPr>
        <w:pStyle w:val="BodyText"/>
      </w:pPr>
      <w:r>
        <w:rPr>
          <w:bCs/>
          <w:b/>
        </w:rPr>
        <w:t xml:space="preserve">3.4. La « cartographie des positions » n’est pas une carte.</w:t>
      </w:r>
      <w:r>
        <w:t xml:space="preserve"> </w:t>
      </w:r>
      <w:r>
        <w:t xml:space="preserve">La ligne « Compétitivité ↔ Protection des droits ↔ Souveraineté ↔ Environnement » est une liste de valeurs. Aucun acteur n’y est placé.</w:t>
      </w:r>
    </w:p>
    <w:p>
      <w:pPr>
        <w:pStyle w:val="BodyText"/>
      </w:pPr>
      <w:r>
        <w:rPr>
          <w:bCs/>
          <w:b/>
        </w:rPr>
        <w:t xml:space="preserve">3.5. Les fédérations professionnelles et les noms manquent.</w:t>
      </w:r>
    </w:p>
    <w:p>
      <w:pPr>
        <w:numPr>
          <w:ilvl w:val="0"/>
          <w:numId w:val="1001"/>
        </w:numPr>
        <w:pStyle w:val="Compact"/>
      </w:pPr>
      <w:r>
        <w:t xml:space="preserve">Les fédérations professionnelles sont citées explicitement dans la consigne (par exemple DigitalEurope ou CCIA), mais elles n’apparaissent pas.</w:t>
      </w:r>
    </w:p>
    <w:p>
      <w:pPr>
        <w:numPr>
          <w:ilvl w:val="0"/>
          <w:numId w:val="1001"/>
        </w:numPr>
        <w:pStyle w:val="Compact"/>
      </w:pPr>
      <w:r>
        <w:t xml:space="preserve">Aucune personne n’est nommée : rapporteurs du Parlement (Brando Benifei, Dragoș Tudorache), commissaire (Thierry Breton), dirigeants (Arthur Mensch, Cédric O, Jonas Andrulis).</w:t>
      </w:r>
    </w:p>
    <w:p>
      <w:pPr>
        <w:pStyle w:val="FirstParagraph"/>
      </w:pPr>
      <w:r>
        <w:rPr>
          <w:bCs/>
          <w:b/>
        </w:rPr>
        <w:t xml:space="preserve">3.6. « États-Unis et Chine » ne sont pas des acteurs du lobbying à Bruxelles.</w:t>
      </w:r>
      <w:r>
        <w:t xml:space="preserve"> </w:t>
      </w:r>
      <w:r>
        <w:t xml:space="preserve">Ils relèvent du contexte géopolitique. Cette ligne occupe la place d’acteurs qui ont réellement participé à la bataille.</w:t>
      </w:r>
    </w:p>
    <w:p>
      <w:pPr>
        <w:pStyle w:val="BodyText"/>
      </w:pPr>
      <w:r>
        <w:rPr>
          <w:bCs/>
          <w:b/>
        </w:rPr>
        <w:t xml:space="preserve">3.7. Aucune source</w:t>
      </w:r>
      <w:r>
        <w:t xml:space="preserve"> </w:t>
      </w:r>
      <w:r>
        <w:t xml:space="preserve">dans le docs ni sur la slide.</w:t>
      </w:r>
    </w:p>
    <w:p>
      <w:pPr>
        <w:pStyle w:val="BodyText"/>
      </w:pPr>
      <w:r>
        <w:rPr>
          <w:bCs/>
          <w:b/>
        </w:rPr>
        <w:t xml:space="preserve">Proposition de structure</w:t>
      </w:r>
      <w:r>
        <w:t xml:space="preserve"> </w:t>
      </w:r>
      <w:r>
        <w:t xml:space="preserve">(positions à vérifier dans les sources) :</w:t>
      </w:r>
    </w:p>
    <w:tbl>
      <w:tblPr>
        <w:tblStyle w:val="Table"/>
        <w:tblW w:type="pct" w:w="5000"/>
        <w:tblLook w:firstRow="1" w:lastRow="0" w:firstColumn="0" w:lastColumn="0" w:noHBand="0" w:noVBand="0" w:val="0020"/>
        <w:jc w:val="start"/>
      </w:tblPr>
      <w:tblGrid>
        <w:gridCol w:w="2795"/>
        <w:gridCol w:w="2562"/>
        <w:gridCol w:w="2562"/>
      </w:tblGrid>
      <w:tr>
        <w:trPr>
          <w:tblHeader w:val="true"/>
        </w:trPr>
        <w:tc>
          <w:tcPr/>
          <w:p>
            <w:pPr>
              <w:pStyle w:val="Compact"/>
              <w:jc w:val="left"/>
            </w:pPr>
            <w:r>
              <w:t xml:space="preserve">Acteur</w:t>
            </w:r>
          </w:p>
        </w:tc>
        <w:tc>
          <w:tcPr/>
          <w:p>
            <w:pPr>
              <w:pStyle w:val="Compact"/>
              <w:jc w:val="left"/>
            </w:pPr>
            <w:r>
              <w:t xml:space="preserve">Position sur les règles GPAI</w:t>
            </w:r>
          </w:p>
        </w:tc>
        <w:tc>
          <w:tcPr/>
          <w:p>
            <w:pPr>
              <w:pStyle w:val="Compact"/>
              <w:jc w:val="left"/>
            </w:pPr>
            <w:r>
              <w:t xml:space="preserve">Moyens d’action</w:t>
            </w:r>
          </w:p>
        </w:tc>
      </w:tr>
      <w:tr>
        <w:tc>
          <w:tcPr/>
          <w:p>
            <w:pPr>
              <w:pStyle w:val="Compact"/>
              <w:jc w:val="left"/>
            </w:pPr>
            <w:r>
              <w:t xml:space="preserve">Parlement européen (B. Benifei, D. Tudorache)</w:t>
            </w:r>
          </w:p>
        </w:tc>
        <w:tc>
          <w:tcPr/>
          <w:p>
            <w:pPr>
              <w:pStyle w:val="Compact"/>
              <w:jc w:val="left"/>
            </w:pPr>
            <w:r>
              <w:t xml:space="preserve">Règles contraignantes pour les « modèles de fondation »</w:t>
            </w:r>
          </w:p>
        </w:tc>
        <w:tc>
          <w:tcPr/>
          <w:p>
            <w:pPr>
              <w:pStyle w:val="Compact"/>
              <w:jc w:val="left"/>
            </w:pPr>
            <w:r>
              <w:t xml:space="preserve">Position votée le 14/06/2023</w:t>
            </w:r>
          </w:p>
        </w:tc>
      </w:tr>
      <w:tr>
        <w:tc>
          <w:tcPr/>
          <w:p>
            <w:pPr>
              <w:pStyle w:val="Compact"/>
              <w:jc w:val="left"/>
            </w:pPr>
            <w:r>
              <w:t xml:space="preserve">France, Allemagne, Italie (Conseil)</w:t>
            </w:r>
          </w:p>
        </w:tc>
        <w:tc>
          <w:tcPr/>
          <w:p>
            <w:pPr>
              <w:pStyle w:val="Compact"/>
              <w:jc w:val="left"/>
            </w:pPr>
            <w:r>
              <w:t xml:space="preserve">Autorégulation par codes de conduite</w:t>
            </w:r>
          </w:p>
        </w:tc>
        <w:tc>
          <w:tcPr/>
          <w:p>
            <w:pPr>
              <w:pStyle w:val="Compact"/>
              <w:jc w:val="left"/>
            </w:pPr>
            <w:r>
              <w:rPr>
                <w:iCs/>
                <w:i/>
              </w:rPr>
              <w:t xml:space="preserve">Non-paper</w:t>
            </w:r>
            <w:r>
              <w:t xml:space="preserve"> </w:t>
            </w:r>
            <w:r>
              <w:t xml:space="preserve">du 18/11/2023</w:t>
            </w:r>
          </w:p>
        </w:tc>
      </w:tr>
      <w:tr>
        <w:tc>
          <w:tcPr/>
          <w:p>
            <w:pPr>
              <w:pStyle w:val="Compact"/>
              <w:jc w:val="left"/>
            </w:pPr>
            <w:r>
              <w:t xml:space="preserve">Commission (T. Breton) et présidence espagnole</w:t>
            </w:r>
          </w:p>
        </w:tc>
        <w:tc>
          <w:tcPr/>
          <w:p>
            <w:pPr>
              <w:pStyle w:val="Compact"/>
              <w:jc w:val="left"/>
            </w:pPr>
            <w:r>
              <w:t xml:space="preserve">Compromis à deux niveaux</w:t>
            </w:r>
          </w:p>
        </w:tc>
        <w:tc>
          <w:tcPr/>
          <w:p>
            <w:pPr>
              <w:pStyle w:val="Compact"/>
              <w:jc w:val="left"/>
            </w:pPr>
            <w:r>
              <w:t xml:space="preserve">Textes de compromis (oct.–nov. 2023)</w:t>
            </w:r>
          </w:p>
        </w:tc>
      </w:tr>
      <w:tr>
        <w:tc>
          <w:tcPr/>
          <w:p>
            <w:pPr>
              <w:pStyle w:val="Compact"/>
              <w:jc w:val="left"/>
            </w:pPr>
            <w:r>
              <w:t xml:space="preserve">Mistral AI, Aleph Alpha</w:t>
            </w:r>
          </w:p>
        </w:tc>
        <w:tc>
          <w:tcPr/>
          <w:p>
            <w:pPr>
              <w:pStyle w:val="Compact"/>
              <w:jc w:val="left"/>
            </w:pPr>
            <w:r>
              <w:t xml:space="preserve">Obligations légères, exemption de l’open source</w:t>
            </w:r>
          </w:p>
        </w:tc>
        <w:tc>
          <w:tcPr/>
          <w:p>
            <w:pPr>
              <w:pStyle w:val="Compact"/>
              <w:jc w:val="left"/>
            </w:pPr>
            <w:r>
              <w:t xml:space="preserve">Accès direct aux gouvernements français et allemand</w:t>
            </w:r>
          </w:p>
        </w:tc>
      </w:tr>
      <w:tr>
        <w:tc>
          <w:tcPr/>
          <w:p>
            <w:pPr>
              <w:pStyle w:val="Compact"/>
              <w:jc w:val="left"/>
            </w:pPr>
            <w:r>
              <w:t xml:space="preserve">Big Tech américaines (OpenAI, Google, Microsoft, Meta)</w:t>
            </w:r>
          </w:p>
        </w:tc>
        <w:tc>
          <w:tcPr/>
          <w:p>
            <w:pPr>
              <w:pStyle w:val="Compact"/>
              <w:jc w:val="left"/>
            </w:pPr>
            <w:r>
              <w:t xml:space="preserve">Réguler les usages, pas les modèles</w:t>
            </w:r>
          </w:p>
        </w:tc>
        <w:tc>
          <w:tcPr/>
          <w:p>
            <w:pPr>
              <w:pStyle w:val="Compact"/>
              <w:jc w:val="left"/>
            </w:pPr>
            <w:r>
              <w:t xml:space="preserve">Livre blanc d’OpenAI (09/2022), réunions</w:t>
            </w:r>
          </w:p>
        </w:tc>
      </w:tr>
      <w:tr>
        <w:tc>
          <w:tcPr/>
          <w:p>
            <w:pPr>
              <w:pStyle w:val="Compact"/>
              <w:jc w:val="left"/>
            </w:pPr>
            <w:r>
              <w:t xml:space="preserve">Fédérations et industrie (DigitalEurope, CCIA, lettre des 150)</w:t>
            </w:r>
          </w:p>
        </w:tc>
        <w:tc>
          <w:tcPr/>
          <w:p>
            <w:pPr>
              <w:pStyle w:val="Compact"/>
              <w:jc w:val="left"/>
            </w:pPr>
            <w:r>
              <w:t xml:space="preserve">Contre des obligations lourdes</w:t>
            </w:r>
          </w:p>
        </w:tc>
        <w:tc>
          <w:tcPr/>
          <w:p>
            <w:pPr>
              <w:pStyle w:val="Compact"/>
              <w:jc w:val="left"/>
            </w:pPr>
            <w:r>
              <w:t xml:space="preserve">Lettre ouverte (30/06/2023)</w:t>
            </w:r>
          </w:p>
        </w:tc>
      </w:tr>
      <w:tr>
        <w:tc>
          <w:tcPr/>
          <w:p>
            <w:pPr>
              <w:pStyle w:val="Compact"/>
              <w:jc w:val="left"/>
            </w:pPr>
            <w:r>
              <w:t xml:space="preserve">ONG, chercheurs, ayants droit</w:t>
            </w:r>
          </w:p>
        </w:tc>
        <w:tc>
          <w:tcPr/>
          <w:p>
            <w:pPr>
              <w:pStyle w:val="Compact"/>
              <w:jc w:val="left"/>
            </w:pPr>
            <w:r>
              <w:t xml:space="preserve">Règles contraignantes, transparence</w:t>
            </w:r>
          </w:p>
        </w:tc>
        <w:tc>
          <w:tcPr/>
          <w:p>
            <w:pPr>
              <w:pStyle w:val="Compact"/>
              <w:jc w:val="left"/>
            </w:pPr>
            <w:r>
              <w:t xml:space="preserve">Rapports, campagnes</w:t>
            </w:r>
          </w:p>
        </w:tc>
      </w:tr>
    </w:tbl>
    <w:bookmarkEnd w:id="24"/>
    <w:bookmarkStart w:id="25" w:name="Xdc67e2825f609e162f8889dda581537ef786086"/>
    <w:p>
      <w:pPr>
        <w:pStyle w:val="Heading2"/>
      </w:pPr>
      <w:r>
        <w:t xml:space="preserve">Partie 4 — Déroulé et actions de lobbying (Tania)</w:t>
      </w:r>
    </w:p>
    <w:p>
      <w:pPr>
        <w:pStyle w:val="FirstParagraph"/>
      </w:pPr>
      <w:r>
        <w:rPr>
          <w:bCs/>
          <w:b/>
        </w:rPr>
        <w:t xml:space="preserve">4.1. Erreur de date.</w:t>
      </w:r>
      <w:r>
        <w:t xml:space="preserve"> </w:t>
      </w:r>
      <w:r>
        <w:t xml:space="preserve">La chronologie indique « Juin 2023 : OpenAI transmet des propositions… ». Or juin 2023 est la date de</w:t>
      </w:r>
      <w:r>
        <w:t xml:space="preserve"> </w:t>
      </w:r>
      <w:r>
        <w:rPr>
          <w:bCs/>
          <w:b/>
        </w:rPr>
        <w:t xml:space="preserve">publication de l’enquête de</w:t>
      </w:r>
      <w:r>
        <w:rPr>
          <w:bCs/>
          <w:b/>
        </w:rPr>
        <w:t xml:space="preserve"> </w:t>
      </w:r>
      <w:r>
        <w:rPr>
          <w:iCs/>
          <w:i/>
          <w:bCs/>
          <w:b/>
        </w:rPr>
        <w:t xml:space="preserve">TIME</w:t>
      </w:r>
      <w:r>
        <w:t xml:space="preserve"> </w:t>
      </w:r>
      <w:r>
        <w:t xml:space="preserve">(20 juin 2023). OpenAI a transmis son livre blanc en</w:t>
      </w:r>
      <w:r>
        <w:t xml:space="preserve"> </w:t>
      </w:r>
      <w:r>
        <w:rPr>
          <w:bCs/>
          <w:b/>
        </w:rPr>
        <w:t xml:space="preserve">septembre 2022</w:t>
      </w:r>
      <w:r>
        <w:t xml:space="preserve">, comme l’indique d’ailleurs l’encadré « Rencontres directes » de la même slide. Les deux dates se contredisent à l’écran.</w:t>
      </w:r>
    </w:p>
    <w:p>
      <w:pPr>
        <w:pStyle w:val="BodyText"/>
      </w:pPr>
      <w:r>
        <w:rPr>
          <w:bCs/>
          <w:b/>
        </w:rPr>
        <w:t xml:space="preserve">4.2. Sur la slide, les titres de deux encadrés ne correspondent pas à leur contenu.</w:t>
      </w:r>
    </w:p>
    <w:p>
      <w:pPr>
        <w:numPr>
          <w:ilvl w:val="0"/>
          <w:numId w:val="1002"/>
        </w:numPr>
        <w:pStyle w:val="Compact"/>
      </w:pPr>
      <w:r>
        <w:t xml:space="preserve">L’encadré « Document de position » contient la lettre ouverte des 150 dirigeants, qui relève de la mobilisation économique.</w:t>
      </w:r>
    </w:p>
    <w:p>
      <w:pPr>
        <w:numPr>
          <w:ilvl w:val="0"/>
          <w:numId w:val="1002"/>
        </w:numPr>
        <w:pStyle w:val="Compact"/>
      </w:pPr>
      <w:r>
        <w:t xml:space="preserve">L’encadré « Mobilisation économique » contient les rendez-vous d’Aleph Alpha et la pression de Mistral AI, qui relèvent des rencontres directes.</w:t>
      </w:r>
    </w:p>
    <w:p>
      <w:pPr>
        <w:numPr>
          <w:ilvl w:val="0"/>
          <w:numId w:val="1002"/>
        </w:numPr>
        <w:pStyle w:val="Compact"/>
      </w:pPr>
      <w:r>
        <w:t xml:space="preserve">Le vrai document de position (le livre blanc d’OpenAI) se trouve dans l’encadré « Rencontres directes ».</w:t>
      </w:r>
    </w:p>
    <w:p>
      <w:pPr>
        <w:pStyle w:val="FirstParagraph"/>
      </w:pPr>
      <w:r>
        <w:rPr>
          <w:bCs/>
          <w:b/>
        </w:rPr>
        <w:t xml:space="preserve">4.3. La chronologie ne montre pas le tournant de la bataille.</w:t>
      </w:r>
    </w:p>
    <w:p>
      <w:pPr>
        <w:numPr>
          <w:ilvl w:val="0"/>
          <w:numId w:val="1003"/>
        </w:numPr>
        <w:pStyle w:val="Compact"/>
      </w:pPr>
      <w:r>
        <w:t xml:space="preserve">Trois des cinq étapes (2021, décembre 2023, 2024) reprennent les dates institutionnelles de la slide 1.</w:t>
      </w:r>
    </w:p>
    <w:p>
      <w:pPr>
        <w:numPr>
          <w:ilvl w:val="0"/>
          <w:numId w:val="1003"/>
        </w:numPr>
        <w:pStyle w:val="Compact"/>
      </w:pPr>
      <w:r>
        <w:t xml:space="preserve">Le moment où la négociation a basculé, le</w:t>
      </w:r>
      <w:r>
        <w:t xml:space="preserve"> </w:t>
      </w:r>
      <w:r>
        <w:rPr>
          <w:iCs/>
          <w:i/>
        </w:rPr>
        <w:t xml:space="preserve">non-paper</w:t>
      </w:r>
      <w:r>
        <w:t xml:space="preserve"> </w:t>
      </w:r>
      <w:r>
        <w:t xml:space="preserve">France-Allemagne-Italie du</w:t>
      </w:r>
      <w:r>
        <w:t xml:space="preserve"> </w:t>
      </w:r>
      <w:r>
        <w:rPr>
          <w:bCs/>
          <w:b/>
        </w:rPr>
        <w:t xml:space="preserve">18 novembre 2023</w:t>
      </w:r>
      <w:r>
        <w:t xml:space="preserve">, n’apparaît que dans un encadré, pas dans la chronologie.</w:t>
      </w:r>
    </w:p>
    <w:p>
      <w:pPr>
        <w:numPr>
          <w:ilvl w:val="0"/>
          <w:numId w:val="1003"/>
        </w:numPr>
        <w:pStyle w:val="Compact"/>
      </w:pPr>
      <w:r>
        <w:t xml:space="preserve">La consigne demande la « chronologie de la bataille », pas celle de la procédure.</w:t>
      </w:r>
    </w:p>
    <w:p>
      <w:pPr>
        <w:pStyle w:val="FirstParagraph"/>
      </w:pPr>
      <w:r>
        <w:rPr>
          <w:bCs/>
          <w:b/>
        </w:rPr>
        <w:t xml:space="preserve">4.4. Deux actions n’ont pas de trace concrète.</w:t>
      </w:r>
    </w:p>
    <w:p>
      <w:pPr>
        <w:numPr>
          <w:ilvl w:val="0"/>
          <w:numId w:val="1004"/>
        </w:numPr>
        <w:pStyle w:val="Compact"/>
      </w:pPr>
      <w:r>
        <w:t xml:space="preserve">« Mistral AI : pression en faveur d’une régulation moins contraignante » : aucune date, aucun acte précis, aucune source. La version précédente citait Cédric O, ancien secrétaire d’État au Numérique, et l’ouverture d’un bureau à Bruxelles. Cet élément concret a disparu.</w:t>
      </w:r>
    </w:p>
    <w:p>
      <w:pPr>
        <w:numPr>
          <w:ilvl w:val="0"/>
          <w:numId w:val="1004"/>
        </w:numPr>
        <w:pStyle w:val="Compact"/>
      </w:pPr>
      <w:r>
        <w:t xml:space="preserve">« Les ONG : contre-mobilisation… » : aucun acteur nommé, aucune date, aucune source.</w:t>
      </w:r>
    </w:p>
    <w:p>
      <w:pPr>
        <w:pStyle w:val="FirstParagraph"/>
      </w:pPr>
      <w:r>
        <w:t xml:space="preserve">La consigne demande d’« identifier des traces concrètes d’actions d’influence ».</w:t>
      </w:r>
    </w:p>
    <w:p>
      <w:pPr>
        <w:pStyle w:val="BodyText"/>
      </w:pPr>
      <w:r>
        <w:rPr>
          <w:bCs/>
          <w:b/>
        </w:rPr>
        <w:t xml:space="preserve">4.5. Sources incomplètes.</w:t>
      </w:r>
    </w:p>
    <w:p>
      <w:pPr>
        <w:numPr>
          <w:ilvl w:val="0"/>
          <w:numId w:val="1005"/>
        </w:numPr>
        <w:pStyle w:val="Compact"/>
      </w:pPr>
      <w:r>
        <w:t xml:space="preserve">La slide indique seulement « Source : Time, Commission européenne ». Or le chiffre des 12 rendez-vous d’Aleph Alpha vient du rapport de Corporate Europe Observatory, LobbyControl et l’Observatoire des multinationales (mars 2024). La position France-Allemagne-Italie vient du</w:t>
      </w:r>
      <w:r>
        <w:t xml:space="preserve"> </w:t>
      </w:r>
      <w:r>
        <w:rPr>
          <w:iCs/>
          <w:i/>
        </w:rPr>
        <w:t xml:space="preserve">non-paper</w:t>
      </w:r>
      <w:r>
        <w:t xml:space="preserve"> </w:t>
      </w:r>
      <w:r>
        <w:t xml:space="preserve">du 18/11/2023.</w:t>
      </w:r>
    </w:p>
    <w:p>
      <w:pPr>
        <w:numPr>
          <w:ilvl w:val="0"/>
          <w:numId w:val="1005"/>
        </w:numPr>
        <w:pStyle w:val="Compact"/>
      </w:pPr>
      <w:r>
        <w:t xml:space="preserve">Dans le docs, les sources sont citées par leur nom seulement, sans date ni lien, contrairement à la partie 1.</w:t>
      </w:r>
    </w:p>
    <w:p>
      <w:pPr>
        <w:pStyle w:val="FirstParagraph"/>
      </w:pPr>
      <w:r>
        <w:rPr>
          <w:bCs/>
          <w:b/>
        </w:rPr>
        <w:t xml:space="preserve">Élément disponible pour l’item « amendements » de la consigne.</w:t>
      </w:r>
      <w:r>
        <w:t xml:space="preserve"> </w:t>
      </w:r>
      <w:r>
        <w:t xml:space="preserve">Selon</w:t>
      </w:r>
      <w:r>
        <w:t xml:space="preserve"> </w:t>
      </w:r>
      <w:r>
        <w:rPr>
          <w:iCs/>
          <w:i/>
        </w:rPr>
        <w:t xml:space="preserve">TIME</w:t>
      </w:r>
      <w:r>
        <w:t xml:space="preserve"> </w:t>
      </w:r>
      <w:r>
        <w:t xml:space="preserve">(20/06/2023), plusieurs amendements proposés par OpenAI ont été repris dans le texte voté par le Parlement.</w:t>
      </w:r>
    </w:p>
    <w:bookmarkEnd w:id="25"/>
    <w:bookmarkStart w:id="26" w:name="partie-5-résultat-et-enseignements"/>
    <w:p>
      <w:pPr>
        <w:pStyle w:val="Heading2"/>
      </w:pPr>
      <w:r>
        <w:t xml:space="preserve">Partie 5 — Résultat et enseignements</w:t>
      </w:r>
    </w:p>
    <w:p>
      <w:pPr>
        <w:pStyle w:val="FirstParagraph"/>
      </w:pPr>
      <w:r>
        <w:rPr>
          <w:bCs/>
          <w:b/>
        </w:rPr>
        <w:t xml:space="preserve">5.1. La partie n’est pas réalisée.</w:t>
      </w:r>
      <w:r>
        <w:t xml:space="preserve"> </w:t>
      </w:r>
      <w:r>
        <w:t xml:space="preserve">Le docs ne contient que les trois questions du prof, et la slide affiche encore le modèle Canva (« Lorem ipsum », « Statistics / Database management / Programming »). Cette partie représente 20 % de l’exposé. C’est là que la problématique reçoit sa réponse et que se trouve l’analyse demandée par le prof : « Que nous apprend ce cas sur les méthodes et l’efficacité du lobbying ? »</w:t>
      </w:r>
    </w:p>
    <w:p>
      <w:pPr>
        <w:pStyle w:val="BodyText"/>
      </w:pPr>
      <w:r>
        <w:rPr>
          <w:bCs/>
          <w:b/>
        </w:rPr>
        <w:t xml:space="preserve">Éléments disponibles</w:t>
      </w:r>
      <w:r>
        <w:t xml:space="preserve"> </w:t>
      </w:r>
      <w:r>
        <w:t xml:space="preserve">(à vérifier et à sourcer) :</w:t>
      </w:r>
    </w:p>
    <w:p>
      <w:pPr>
        <w:numPr>
          <w:ilvl w:val="0"/>
          <w:numId w:val="1006"/>
        </w:numPr>
        <w:pStyle w:val="Compact"/>
      </w:pPr>
      <w:r>
        <w:rPr>
          <w:bCs/>
          <w:b/>
        </w:rPr>
        <w:t xml:space="preserve">Décision finale (chapitre V).</w:t>
      </w:r>
      <w:r>
        <w:t xml:space="preserve"> </w:t>
      </w:r>
      <w:r>
        <w:t xml:space="preserve">Deux niveaux d’obligations :</w:t>
      </w:r>
    </w:p>
    <w:p>
      <w:pPr>
        <w:numPr>
          <w:ilvl w:val="1"/>
          <w:numId w:val="1007"/>
        </w:numPr>
        <w:pStyle w:val="Compact"/>
      </w:pPr>
      <w:r>
        <w:t xml:space="preserve">tous les modèles d’IA à usage général : documentation technique, informations aux entreprises en aval, politique de droit d’auteur, résumé des données d’entraînement (art. 53), avec une exemption partielle pour l’open source ;</w:t>
      </w:r>
    </w:p>
    <w:p>
      <w:pPr>
        <w:numPr>
          <w:ilvl w:val="1"/>
          <w:numId w:val="1007"/>
        </w:numPr>
        <w:pStyle w:val="Compact"/>
      </w:pPr>
      <w:r>
        <w:t xml:space="preserve">les modèles « à risque systémique » (plus de 10²⁵ FLOP ou désignation par la Commission) : évaluation, tests adverses, signalement des incidents, cybersécurité (art. 51 et 55).</w:t>
      </w:r>
    </w:p>
    <w:p>
      <w:pPr>
        <w:numPr>
          <w:ilvl w:val="1"/>
          <w:numId w:val="1007"/>
        </w:numPr>
        <w:pStyle w:val="Compact"/>
      </w:pPr>
      <w:r>
        <w:t xml:space="preserve">Un code de bonnes pratiques est prévu (art. 56), et les amendes peuvent aller jusqu’à 3 % du chiffre d’affaires mondial ou 15 M€ (art. 101).</w:t>
      </w:r>
    </w:p>
    <w:p>
      <w:pPr>
        <w:numPr>
          <w:ilvl w:val="0"/>
          <w:numId w:val="1006"/>
        </w:numPr>
        <w:pStyle w:val="Compact"/>
      </w:pPr>
      <w:r>
        <w:rPr>
          <w:bCs/>
          <w:b/>
        </w:rPr>
        <w:t xml:space="preserve">Qui a obtenu quoi.</w:t>
      </w:r>
    </w:p>
    <w:p>
      <w:pPr>
        <w:numPr>
          <w:ilvl w:val="1"/>
          <w:numId w:val="1008"/>
        </w:numPr>
        <w:pStyle w:val="Compact"/>
      </w:pPr>
      <w:r>
        <w:t xml:space="preserve">Le Parlement a obtenu des règles contraignantes, et non une simple autorégulation.</w:t>
      </w:r>
    </w:p>
    <w:p>
      <w:pPr>
        <w:numPr>
          <w:ilvl w:val="1"/>
          <w:numId w:val="1008"/>
        </w:numPr>
        <w:pStyle w:val="Compact"/>
      </w:pPr>
      <w:r>
        <w:t xml:space="preserve">La France, l’Allemagne, Mistral AI et Aleph Alpha ont obtenu des obligations légères pour la plupart des modèles, l’exemption partielle de l’open source et un code de bonnes pratiques comme outil de mise en conformité.</w:t>
      </w:r>
    </w:p>
    <w:p>
      <w:pPr>
        <w:numPr>
          <w:ilvl w:val="1"/>
          <w:numId w:val="1008"/>
        </w:numPr>
        <w:pStyle w:val="Compact"/>
      </w:pPr>
      <w:r>
        <w:t xml:space="preserve">Seuls les modèles les plus puissants sont soumis aux obligations renforcées.</w:t>
      </w:r>
    </w:p>
    <w:p>
      <w:pPr>
        <w:numPr>
          <w:ilvl w:val="0"/>
          <w:numId w:val="1006"/>
        </w:numPr>
        <w:pStyle w:val="Compact"/>
      </w:pPr>
      <w:r>
        <w:rPr>
          <w:bCs/>
          <w:b/>
        </w:rPr>
        <w:t xml:space="preserve">Suite.</w:t>
      </w:r>
      <w:r>
        <w:t xml:space="preserve"> </w:t>
      </w:r>
      <w:r>
        <w:t xml:space="preserve">Le code de bonnes pratiques a été publié le 10/07/2025, et Meta a refusé de le signer. Les sanctions sont possibles depuis le 02/08/2026.</w:t>
      </w:r>
    </w:p>
    <w:bookmarkEnd w:id="26"/>
    <w:bookmarkEnd w:id="27"/>
    <w:bookmarkStart w:id="28" w:name="cohérence-densemble"/>
    <w:p>
      <w:pPr>
        <w:pStyle w:val="Heading1"/>
      </w:pPr>
      <w:r>
        <w:t xml:space="preserve">4. Cohérence d’ensemble</w:t>
      </w:r>
    </w:p>
    <w:p>
      <w:pPr>
        <w:pStyle w:val="FirstParagraph"/>
      </w:pPr>
      <w:r>
        <w:rPr>
          <w:bCs/>
          <w:b/>
        </w:rPr>
        <w:t xml:space="preserve">4.1. Les acteurs changent d’une slide à l’autre.</w:t>
      </w:r>
      <w:r>
        <w:t xml:space="preserve"> </w:t>
      </w:r>
      <w:r>
        <w:t xml:space="preserve">Slide 2 : « États (FR, DE) ». Slide 3 : aucun État membre. Slide 4 : « France, Allemagne et Italie ». Le même acteur doit apparaître de façon cohérente dans les trois slides.</w:t>
      </w:r>
    </w:p>
    <w:p>
      <w:pPr>
        <w:pStyle w:val="BodyText"/>
      </w:pPr>
      <w:r>
        <w:rPr>
          <w:bCs/>
          <w:b/>
        </w:rPr>
        <w:t xml:space="preserve">4.2. La problématique n’a pas de réponse.</w:t>
      </w:r>
      <w:r>
        <w:t xml:space="preserve"> </w:t>
      </w:r>
      <w:r>
        <w:t xml:space="preserve">La question posée en partie 1 (« Qui a réussi à peser sur les règles…, et par quels moyens ? ») n’est reprise nulle part ailleurs, faute de partie 5.</w:t>
      </w:r>
    </w:p>
    <w:bookmarkEnd w:id="28"/>
    <w:bookmarkStart w:id="29" w:name="priorités-par-ordre-dimpact"/>
    <w:p>
      <w:pPr>
        <w:pStyle w:val="Heading1"/>
      </w:pPr>
      <w:r>
        <w:t xml:space="preserve">5. Priorités, par ordre d’impact</w:t>
      </w:r>
    </w:p>
    <w:p>
      <w:pPr>
        <w:numPr>
          <w:ilvl w:val="0"/>
          <w:numId w:val="1009"/>
        </w:numPr>
        <w:pStyle w:val="Compact"/>
      </w:pPr>
      <w:r>
        <w:rPr>
          <w:bCs/>
          <w:b/>
        </w:rPr>
        <w:t xml:space="preserve">Rédiger la partie 5</w:t>
      </w:r>
      <w:r>
        <w:t xml:space="preserve"> </w:t>
      </w:r>
      <w:r>
        <w:t xml:space="preserve">(20 % de l’exposé) et désigner la personne qui la présente.</w:t>
      </w:r>
    </w:p>
    <w:p>
      <w:pPr>
        <w:numPr>
          <w:ilvl w:val="0"/>
          <w:numId w:val="1009"/>
        </w:numPr>
        <w:pStyle w:val="Compact"/>
      </w:pPr>
      <w:r>
        <w:rPr>
          <w:bCs/>
          <w:b/>
        </w:rPr>
        <w:t xml:space="preserve">Partie 3 :</w:t>
      </w:r>
    </w:p>
    <w:p>
      <w:pPr>
        <w:numPr>
          <w:ilvl w:val="1"/>
          <w:numId w:val="1010"/>
        </w:numPr>
        <w:pStyle w:val="Compact"/>
      </w:pPr>
      <w:r>
        <w:t xml:space="preserve">ajouter les États membres (FR, DE, IT) ;</w:t>
      </w:r>
    </w:p>
    <w:p>
      <w:pPr>
        <w:numPr>
          <w:ilvl w:val="1"/>
          <w:numId w:val="1010"/>
        </w:numPr>
        <w:pStyle w:val="Compact"/>
      </w:pPr>
      <w:r>
        <w:t xml:space="preserve">séparer Parlement, Conseil et Commission ;</w:t>
      </w:r>
    </w:p>
    <w:p>
      <w:pPr>
        <w:numPr>
          <w:ilvl w:val="1"/>
          <w:numId w:val="1010"/>
        </w:numPr>
        <w:pStyle w:val="Compact"/>
      </w:pPr>
      <w:r>
        <w:t xml:space="preserve">donner la position de chacun sur la question centrale ;</w:t>
      </w:r>
    </w:p>
    <w:p>
      <w:pPr>
        <w:numPr>
          <w:ilvl w:val="1"/>
          <w:numId w:val="1010"/>
        </w:numPr>
        <w:pStyle w:val="Compact"/>
      </w:pPr>
      <w:r>
        <w:t xml:space="preserve">ajouter les fédérations ;</w:t>
      </w:r>
    </w:p>
    <w:p>
      <w:pPr>
        <w:numPr>
          <w:ilvl w:val="1"/>
          <w:numId w:val="1010"/>
        </w:numPr>
        <w:pStyle w:val="Compact"/>
      </w:pPr>
      <w:r>
        <w:t xml:space="preserve">placer les acteurs sur une vraie carte ;</w:t>
      </w:r>
    </w:p>
    <w:p>
      <w:pPr>
        <w:numPr>
          <w:ilvl w:val="1"/>
          <w:numId w:val="1010"/>
        </w:numPr>
        <w:pStyle w:val="Compact"/>
      </w:pPr>
      <w:r>
        <w:t xml:space="preserve">citer les sources.</w:t>
      </w:r>
    </w:p>
    <w:p>
      <w:pPr>
        <w:numPr>
          <w:ilvl w:val="0"/>
          <w:numId w:val="1009"/>
        </w:numPr>
        <w:pStyle w:val="Compact"/>
      </w:pPr>
      <w:r>
        <w:rPr>
          <w:bCs/>
          <w:b/>
        </w:rPr>
        <w:t xml:space="preserve">Partie 4 :</w:t>
      </w:r>
    </w:p>
    <w:p>
      <w:pPr>
        <w:numPr>
          <w:ilvl w:val="1"/>
          <w:numId w:val="1011"/>
        </w:numPr>
        <w:pStyle w:val="Compact"/>
      </w:pPr>
      <w:r>
        <w:t xml:space="preserve">corriger « Juin 2023 » ;</w:t>
      </w:r>
    </w:p>
    <w:p>
      <w:pPr>
        <w:numPr>
          <w:ilvl w:val="1"/>
          <w:numId w:val="1011"/>
        </w:numPr>
        <w:pStyle w:val="Compact"/>
      </w:pPr>
      <w:r>
        <w:t xml:space="preserve">remettre les titres des encadrés en face du bon contenu ;</w:t>
      </w:r>
    </w:p>
    <w:p>
      <w:pPr>
        <w:numPr>
          <w:ilvl w:val="1"/>
          <w:numId w:val="1011"/>
        </w:numPr>
        <w:pStyle w:val="Compact"/>
      </w:pPr>
      <w:r>
        <w:t xml:space="preserve">placer le</w:t>
      </w:r>
      <w:r>
        <w:t xml:space="preserve"> </w:t>
      </w:r>
      <w:r>
        <w:rPr>
          <w:iCs/>
          <w:i/>
        </w:rPr>
        <w:t xml:space="preserve">non-paper</w:t>
      </w:r>
      <w:r>
        <w:t xml:space="preserve"> </w:t>
      </w:r>
      <w:r>
        <w:t xml:space="preserve">du 18/11/2023 dans la chronologie ;</w:t>
      </w:r>
    </w:p>
    <w:p>
      <w:pPr>
        <w:numPr>
          <w:ilvl w:val="1"/>
          <w:numId w:val="1011"/>
        </w:numPr>
        <w:pStyle w:val="Compact"/>
      </w:pPr>
      <w:r>
        <w:t xml:space="preserve">donner une trace concrète pour Mistral AI et pour les ONG ;</w:t>
      </w:r>
    </w:p>
    <w:p>
      <w:pPr>
        <w:numPr>
          <w:ilvl w:val="1"/>
          <w:numId w:val="1011"/>
        </w:numPr>
        <w:pStyle w:val="Compact"/>
      </w:pPr>
      <w:r>
        <w:t xml:space="preserve">compléter les sources.</w:t>
      </w:r>
    </w:p>
    <w:p>
      <w:pPr>
        <w:numPr>
          <w:ilvl w:val="0"/>
          <w:numId w:val="1009"/>
        </w:numPr>
        <w:pStyle w:val="Compact"/>
      </w:pPr>
      <w:r>
        <w:rPr>
          <w:bCs/>
          <w:b/>
        </w:rPr>
        <w:t xml:space="preserve">Slide 2 :</w:t>
      </w:r>
      <w:r>
        <w:t xml:space="preserve"> </w:t>
      </w:r>
      <w:r>
        <w:t xml:space="preserve">ajouter la position des start-up européennes.</w:t>
      </w:r>
    </w:p>
    <w:p>
      <w:pPr>
        <w:numPr>
          <w:ilvl w:val="0"/>
          <w:numId w:val="1009"/>
        </w:numPr>
        <w:pStyle w:val="Compact"/>
      </w:pPr>
      <w:r>
        <w:rPr>
          <w:bCs/>
          <w:b/>
        </w:rPr>
        <w:t xml:space="preserve">Organisation :</w:t>
      </w:r>
    </w:p>
    <w:p>
      <w:pPr>
        <w:numPr>
          <w:ilvl w:val="1"/>
          <w:numId w:val="1012"/>
        </w:numPr>
        <w:pStyle w:val="Compact"/>
      </w:pPr>
      <w:r>
        <w:t xml:space="preserve">corriger la durée dans le docs (10 à 12 minutes) ;</w:t>
      </w:r>
    </w:p>
    <w:p>
      <w:pPr>
        <w:numPr>
          <w:ilvl w:val="1"/>
          <w:numId w:val="1012"/>
        </w:numPr>
        <w:pStyle w:val="Compact"/>
      </w:pPr>
      <w:r>
        <w:t xml:space="preserve">demander au prof si la couverture compte dans les 5 slides.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n° 3 — Docs et slides du sujet 11</dc:title>
  <dc:creator/>
  <cp:keywords/>
  <dcterms:created xsi:type="dcterms:W3CDTF">2026-10-13T23:12:17Z</dcterms:created>
  <dcterms:modified xsi:type="dcterms:W3CDTF">2026-10-13T23:12:17Z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IA générative : la bataille autour des règles applicables aux grands modèles d’IA</vt:lpwstr>
  </property>
</Properties>
</file>