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6A4E"/>
          <w:sz w:val="22"/>
          <w:szCs w:val="22"/>
        </w:rPr>
        <w:t xml:space="preserve">ĐOÀN TNCS HỒ CHÍ MINH — HỘI SINH VIÊN VIỆT NAM
</w:t>
      </w:r>
      <w:r>
        <w:rPr>
          <w:b/>
          <w:bCs/>
          <w:color w:val="006A4E"/>
          <w:sz w:val="22"/>
          <w:szCs w:val="22"/>
        </w:rPr>
        <w:t xml:space="preserve">TRƯỜNG ĐẠI HỌC NÔNG LÂM THÀNH PHỐ HỒ CHÍ MINH
</w:t>
      </w:r>
      <w:r>
        <w:rPr>
          <w:color w:val="94A3B8"/>
          <w:sz w:val="20"/>
          <w:szCs w:val="20"/>
        </w:rPr>
        <w:t xml:space="preserve">***
</w:t>
      </w:r>
    </w:p>
    <w:p>
      <w:pPr>
        <w:spacing w:after="120" w:before="240"/>
        <w:jc w:val="center"/>
      </w:pPr>
      <w:r>
        <w:rPr>
          <w:b/>
          <w:bCs/>
          <w:color w:val="047857"/>
          <w:sz w:val="32"/>
          <w:szCs w:val="32"/>
        </w:rPr>
        <w:t xml:space="preserve">HƯỚNG DẪN SỬ DỤNG HỆ THỐNG - CẤP 1 (CÁ NHÂN ĐOÀN VIÊN / SINH VIÊN)</w:t>
      </w:r>
    </w:p>
    <w:p>
      <w:pPr>
        <w:spacing w:after="360"/>
        <w:jc w:val="center"/>
      </w:pPr>
      <w:r>
        <w:rPr>
          <w:i/>
          <w:iCs/>
          <w:color w:val="475569"/>
          <w:sz w:val="24"/>
          <w:szCs w:val="24"/>
        </w:rPr>
        <w:t xml:space="preserve">Dành cho Toàn Thể Sinh Viên, Đoàn Viên, Hội Viên Trường Đại học Nông Lâm TP.HCM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6EFAC" w:sz="8"/>
              <w:left w:val="single" w:color="059669" w:sz="24"/>
              <w:bottom w:val="single" w:color="86EFAC" w:sz="8"/>
              <w:right w:val="single" w:color="86EFAC" w:sz="8"/>
            </w:tcBorders>
            <w:shd w:fill="F0FDF4" w:val="clear"/>
          </w:tcPr>
          <w:p>
            <w:pPr>
              <w:spacing w:after="80" w:before="120"/>
            </w:pPr>
            <w:r>
              <w:rPr>
                <w:b/>
                <w:bCs/>
                <w:color w:val="065F46"/>
              </w:rPr>
              <w:t xml:space="preserve">• Hệ Thống: </w:t>
            </w:r>
            <w:r>
              <w:t xml:space="preserve">Phần Mềm Quản Lý Hoạt Động &amp; Điểm Rèn Luyện NLU Youth 2026
</w:t>
            </w:r>
            <w:r>
              <w:rPr>
                <w:b/>
                <w:bCs/>
                <w:color w:val="065F46"/>
              </w:rPr>
              <w:t xml:space="preserve">• Phiên Bản: </w:t>
            </w:r>
            <w:r>
              <w:t xml:space="preserve">v2026.4 (Niên khóa 2026 - 2027)
</w:t>
            </w:r>
            <w:r>
              <w:rPr>
                <w:b/>
                <w:bCs/>
                <w:color w:val="065F46"/>
              </w:rPr>
              <w:t xml:space="preserve">• Đối Tượng Áp Dụng: </w:t>
            </w:r>
            <w:r>
              <w:t xml:space="preserve">Tất cả sinh viên NLU đang theo học tại Trường
</w:t>
            </w:r>
            <w:r>
              <w:rPr>
                <w:b/>
                <w:bCs/>
                <w:color w:val="065F46"/>
              </w:rPr>
              <w:t xml:space="preserve">• Phạm Vi Hiệu Lực: </w:t>
            </w:r>
            <w:r>
              <w:t xml:space="preserve">Cá nhân sinh viên trong toàn bộ thời gian học tập
</w:t>
            </w:r>
            <w:r>
              <w:rPr>
                <w:b/>
                <w:bCs/>
                <w:color w:val="065F46"/>
              </w:rPr>
              <w:t xml:space="preserve">• Chuẩn Định Dạng File: </w:t>
            </w:r>
            <w:r>
              <w:t xml:space="preserve">100% Tệp Excel (.xlsx) đồng nhất toàn hệ thống
</w:t>
            </w:r>
            <w:r>
              <w:rPr>
                <w:b/>
                <w:bCs/>
                <w:color w:val="065F46"/>
              </w:rPr>
              <w:t xml:space="preserve">• Ràng Buộc Nhân Sự: </w:t>
            </w:r>
            <w:r>
              <w:t xml:space="preserve">BTC tối đa 5 người, CTV tối đa 10 người</w:t>
            </w:r>
          </w:p>
        </w:tc>
      </w:tr>
    </w:tbl>
    <w:p>
      <w:pPr>
        <w:spacing w:before="300"/>
      </w:pPr>
    </w:p>
    <w:p>
      <w:pPr>
        <w:pStyle w:val="Heading1"/>
        <w:spacing w:after="180" w:before="360"/>
      </w:pPr>
      <w:r>
        <w:rPr>
          <w:b/>
          <w:bCs/>
          <w:color w:val="065F46"/>
          <w:sz w:val="28"/>
          <w:szCs w:val="28"/>
        </w:rPr>
        <w:t xml:space="preserve">1. TỔNG QUAN VÀ TRÁCH NHIỆM CHÍNH CỦA ĐỐI TƯỢNG</w:t>
      </w:r>
    </w:p>
    <w:p>
      <w:pPr>
        <w:spacing w:after="160"/>
      </w:pPr>
      <w:r>
        <w:t xml:space="preserve">Hệ thống NLU Youth 2026 vận hành trên cơ chế phân quyền bảo mật 4 cấp (Role-Based Access Control). Đối tượng Cấp 1 có các quyền hạn và trách nhiệm cốt lõi sau:</w:t>
      </w:r>
    </w:p>
    <w:p>
      <w:pPr>
        <w:pStyle w:val="ListParagraph"/>
        <w:numPr>
          <w:ilvl w:val="0"/>
          <w:numId w:val="1"/>
        </w:numPr>
        <w:spacing w:after="60" w:before="60"/>
      </w:pPr>
      <w:r>
        <w:rPr>
          <w:sz w:val="23"/>
          <w:szCs w:val="23"/>
        </w:rPr>
        <w:t xml:space="preserve">Đăng nhập hệ thống bằng Email sinh viên / MSSV và bảo mật tài khoản cá nhân</w:t>
      </w:r>
    </w:p>
    <w:p>
      <w:pPr>
        <w:pStyle w:val="ListParagraph"/>
        <w:numPr>
          <w:ilvl w:val="0"/>
          <w:numId w:val="1"/>
        </w:numPr>
        <w:spacing w:after="60" w:before="60"/>
      </w:pPr>
      <w:r>
        <w:rPr>
          <w:sz w:val="23"/>
          <w:szCs w:val="23"/>
        </w:rPr>
        <w:t xml:space="preserve">Tra cứu chi tiết kết quả Điểm Rèn Luyện (ĐRL) từng học kỳ và lịch sử tham gia phong trào</w:t>
      </w:r>
    </w:p>
    <w:p>
      <w:pPr>
        <w:pStyle w:val="ListParagraph"/>
        <w:numPr>
          <w:ilvl w:val="0"/>
          <w:numId w:val="1"/>
        </w:numPr>
        <w:spacing w:after="60" w:before="60"/>
      </w:pPr>
      <w:r>
        <w:rPr>
          <w:sz w:val="23"/>
          <w:szCs w:val="23"/>
        </w:rPr>
        <w:t xml:space="preserve">Quét mã QR Code Check-in điểm danh tức thì khi tham gia các hoạt động tại Trường / Khoa / Lớp</w:t>
      </w:r>
    </w:p>
    <w:p>
      <w:pPr>
        <w:pStyle w:val="ListParagraph"/>
        <w:numPr>
          <w:ilvl w:val="0"/>
          <w:numId w:val="1"/>
        </w:numPr>
        <w:spacing w:after="60" w:before="60"/>
      </w:pPr>
      <w:r>
        <w:rPr>
          <w:sz w:val="23"/>
          <w:szCs w:val="23"/>
        </w:rPr>
        <w:t xml:space="preserve">Nộp minh chứng tự khai (Khen thưởng, NCKH, Chức vụ, Hoạt động ngoài trường) kèm tệp minh chứng</w:t>
      </w:r>
    </w:p>
    <w:p>
      <w:pPr>
        <w:pStyle w:val="ListParagraph"/>
        <w:numPr>
          <w:ilvl w:val="0"/>
          <w:numId w:val="1"/>
        </w:numPr>
        <w:spacing w:after="60" w:before="60"/>
      </w:pPr>
      <w:r>
        <w:rPr>
          <w:sz w:val="23"/>
          <w:szCs w:val="23"/>
        </w:rPr>
        <w:t xml:space="preserve">Theo dõi tiến độ tích lũy 5 tiêu chuẩn Danh hiệu Sinh viên 5 tốt và xuất Phiếu điểm rèn luyện</w:t>
      </w:r>
    </w:p>
    <w:p>
      <w:pPr>
        <w:pStyle w:val="Heading1"/>
        <w:spacing w:after="180" w:before="400"/>
      </w:pPr>
      <w:r>
        <w:rPr>
          <w:b/>
          <w:bCs/>
          <w:color w:val="065F46"/>
          <w:sz w:val="28"/>
          <w:szCs w:val="28"/>
        </w:rPr>
        <w:t xml:space="preserve">2. HÌNH ẢNH MINH HỌA QUY TRÌNH NGHIỆP VỤ TỪNG BƯỚC</w:t>
      </w:r>
    </w:p>
    <w:p>
      <w:pPr>
        <w:spacing w:after="140"/>
      </w:pPr>
      <w:r>
        <w:t xml:space="preserve">Sơ đồ hình ảnh minh họa luồng tác nghiệp chuẩn hóa trên phần mềm NLU Youth:</w:t>
      </w:r>
    </w:p>
    <w:p>
      <w:pPr>
        <w:spacing w:after="80" w:before="120"/>
        <w:jc w:val="center"/>
      </w:pPr>
      <w:r>
        <w:drawing>
          <wp:inline distT="0" distB="0" distL="0" distR="0">
            <wp:extent cx="5524500" cy="2762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80"/>
        <w:jc w:val="center"/>
      </w:pPr>
      <w:r>
        <w:rPr>
          <w:i/>
          <w:iCs/>
          <w:color w:val="64748B"/>
          <w:sz w:val="20"/>
          <w:szCs w:val="20"/>
        </w:rPr>
        <w:t xml:space="preserve">Hình 1: Sơ đồ luồng tác nghiệp 5 bước dành cho HƯỚNG DẪN SỬ DỤNG HỆ THỐNG - CẤP 1 (CÁ NHÂN ĐOÀN VIÊN / SINH VIÊN)</w:t>
      </w:r>
    </w:p>
    <w:p>
      <w:pPr>
        <w:pStyle w:val="Heading1"/>
        <w:spacing w:after="180" w:before="360"/>
      </w:pPr>
      <w:r>
        <w:rPr>
          <w:b/>
          <w:bCs/>
          <w:color w:val="065F46"/>
          <w:sz w:val="28"/>
          <w:szCs w:val="28"/>
        </w:rPr>
        <w:t xml:space="preserve">3. HƯỚNG DẪN CHI TIẾT TỪNG BƯỚC THỰC HIỆN</w:t>
      </w:r>
    </w:p>
    <w:p>
      <w:pPr>
        <w:pStyle w:val="Heading2"/>
        <w:spacing w:after="100" w:before="200"/>
      </w:pPr>
      <w:r>
        <w:rPr>
          <w:b/>
          <w:bCs/>
          <w:color w:val="0F766E"/>
          <w:sz w:val="25"/>
          <w:szCs w:val="25"/>
        </w:rPr>
        <w:t xml:space="preserve">Bước 1: Tiếp nhận tài khoản &amp; Đăng nhập hệ thống</w:t>
      </w:r>
    </w:p>
    <w:p>
      <w:pPr>
        <w:spacing w:after="140"/>
      </w:pPr>
      <w:r>
        <w:t xml:space="preserve">Truy cập cổng ứng dụng NLU Youth trên trình duyệt web hoặc thiết bị di động. Đăng nhập bằng tài khoản được cấp phát và chuyển đổi vai trò làm việc phù hợp với thẩm quyền được giao.</w:t>
      </w:r>
    </w:p>
    <w:p>
      <w:pPr>
        <w:pStyle w:val="Heading2"/>
        <w:spacing w:after="100" w:before="200"/>
      </w:pPr>
      <w:r>
        <w:rPr>
          <w:b/>
          <w:bCs/>
          <w:color w:val="0F766E"/>
          <w:sz w:val="25"/>
          <w:szCs w:val="25"/>
        </w:rPr>
        <w:t xml:space="preserve">Bước 2: Quản lý Hoạt động &amp; Điểm danh QR</w:t>
      </w:r>
    </w:p>
    <w:p>
      <w:pPr>
        <w:spacing w:after="140"/>
      </w:pPr>
      <w:r>
        <w:t xml:space="preserve">Tại Cổng Quản Lý Hoạt Động &amp; Quy Trình Phê Duyệt, tạo mới chương trình theo cấp phân quyền tương ứng. Bật tính năng Điểm Danh QR Code động để sinh viên quét check-in trực tiếp tại hội trường.</w:t>
      </w:r>
    </w:p>
    <w:p>
      <w:pPr>
        <w:pStyle w:val="Heading2"/>
        <w:spacing w:after="100" w:before="200"/>
      </w:pPr>
      <w:r>
        <w:rPr>
          <w:b/>
          <w:bCs/>
          <w:color w:val="0F766E"/>
          <w:sz w:val="25"/>
          <w:szCs w:val="25"/>
        </w:rPr>
        <w:t xml:space="preserve">Bước 3: Nhập danh sách tham gia bằng file Excel (.xlsx) chuẩn</w:t>
      </w:r>
    </w:p>
    <w:p>
      <w:pPr>
        <w:spacing w:after="140"/>
      </w:pPr>
      <w:r>
        <w:t xml:space="preserve">Tải file mẫu Excel (.xlsx) chính thức. Điền đầy đủ cột MSSV, Họ tên, Lớp, Vai trò tham gia. Hệ thống sẽ tự động quét trùng lặp và tính toán trước điểm rèn luyện.</w:t>
      </w:r>
    </w:p>
    <w:p>
      <w:pPr>
        <w:pStyle w:val="Heading2"/>
        <w:spacing w:after="100" w:before="200"/>
      </w:pPr>
      <w:r>
        <w:rPr>
          <w:b/>
          <w:bCs/>
          <w:color w:val="0F766E"/>
          <w:sz w:val="25"/>
          <w:szCs w:val="25"/>
        </w:rPr>
        <w:t xml:space="preserve">Bước 4: Kiểm soát Ràng buộc Nhân sự BTC &amp; CTV</w:t>
      </w:r>
    </w:p>
    <w:p>
      <w:pPr>
        <w:spacing w:after="140"/>
      </w:pPr>
      <w:r>
        <w:t xml:space="preserve">Hệ thống tự động đếm số lượng nhân sự có vai trò Ban Tổ chức và Cộng tác viên. Nếu vượt quá định mức quy định cho cấp chương trình, hệ thống sẽ KHÓA nút nhập và hiển thị thông báo lỗi chi tiết, bắt buộc điều chỉnh trước khi nạp.</w:t>
      </w:r>
    </w:p>
    <w:p>
      <w:pPr>
        <w:pStyle w:val="Heading2"/>
        <w:spacing w:after="100" w:before="200"/>
      </w:pPr>
      <w:r>
        <w:rPr>
          <w:b/>
          <w:bCs/>
          <w:color w:val="0F766E"/>
          <w:sz w:val="25"/>
          <w:szCs w:val="25"/>
        </w:rPr>
        <w:t xml:space="preserve">Bước 5: Thẩm định minh chứng &amp; Xuất sổ điểm rèn luyện</w:t>
      </w:r>
    </w:p>
    <w:p>
      <w:pPr>
        <w:spacing w:after="140"/>
      </w:pPr>
      <w:r>
        <w:t xml:space="preserve">Thực hiện xét duyệt hồ sơ tự khai của sinh viên. Sau khi hoàn tất kỳ đánh giá, bấm nút Xuất Báo Cáo Excel (.xlsx) để lưu trữ sổ điểm rèn luyện chính thức của đơn vị.</w:t>
      </w:r>
    </w:p>
    <w:p>
      <w:pPr>
        <w:pStyle w:val="Heading1"/>
        <w:spacing w:after="180" w:before="360"/>
      </w:pPr>
      <w:r>
        <w:rPr>
          <w:b/>
          <w:bCs/>
          <w:color w:val="065F46"/>
          <w:sz w:val="28"/>
          <w:szCs w:val="28"/>
        </w:rPr>
        <w:t xml:space="preserve">4. BẢNG QUY ĐỊNH RÀNG BUỘC ĐỊNH MỨC BTC &amp; CTV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64E3B" w:val="clear"/>
          </w:tcPr>
          <w:p>
            <w:r>
              <w:rPr>
                <w:b/>
                <w:bCs/>
                <w:color w:val="FFFFFF"/>
              </w:rPr>
              <w:t xml:space="preserve">Cấp Chương Trình</w:t>
            </w:r>
          </w:p>
        </w:tc>
        <w:tc>
          <w:tcPr>
            <w:shd w:fill="064E3B" w:val="clear"/>
          </w:tcPr>
          <w:p>
            <w:r>
              <w:rPr>
                <w:b/>
                <w:bCs/>
                <w:color w:val="FFFFFF"/>
              </w:rPr>
              <w:t xml:space="preserve">Đơn Vị Chủ Trì</w:t>
            </w:r>
          </w:p>
        </w:tc>
        <w:tc>
          <w:tcPr>
            <w:shd w:fill="064E3B" w:val="clear"/>
          </w:tcPr>
          <w:p>
            <w:r>
              <w:rPr>
                <w:b/>
                <w:bCs/>
                <w:color w:val="FFFFFF"/>
              </w:rPr>
              <w:t xml:space="preserve">Tối Đa Ban Tổ Chức (BTC)</w:t>
            </w:r>
          </w:p>
        </w:tc>
        <w:tc>
          <w:tcPr>
            <w:shd w:fill="064E3B" w:val="clear"/>
          </w:tcPr>
          <w:p>
            <w:r>
              <w:rPr>
                <w:b/>
                <w:bCs/>
                <w:color w:val="FFFFFF"/>
              </w:rPr>
              <w:t xml:space="preserve">Tối Đa Cộng Tác Viên (CTV)</w:t>
            </w:r>
          </w:p>
        </w:tc>
        <w:tc>
          <w:tcPr>
            <w:shd w:fill="064E3B" w:val="clear"/>
          </w:tcPr>
          <w:p>
            <w:r>
              <w:rPr>
                <w:b/>
                <w:bCs/>
                <w:color w:val="FFFFFF"/>
              </w:rPr>
              <w:t xml:space="preserve">Chế Tài Hệ Thống</w:t>
            </w:r>
          </w:p>
        </w:tc>
      </w:tr>
      <w:tr>
        <w:tc>
          <w:p>
            <w:r>
              <w:t xml:space="preserve">Chương trình Cấp 1</w:t>
            </w:r>
          </w:p>
        </w:tc>
        <w:tc>
          <w:p>
            <w:r>
              <w:t xml:space="preserve">Chi đoàn, CLB cấp Khoa, Đội nhóm</w:t>
            </w:r>
          </w:p>
        </w:tc>
        <w:tc>
          <w:p>
            <w:r>
              <w:rPr>
                <w:b/>
                <w:bCs/>
                <w:color w:val="BE123C"/>
              </w:rPr>
              <w:t xml:space="preserve">Không quá 5 người</w:t>
            </w:r>
          </w:p>
        </w:tc>
        <w:tc>
          <w:p>
            <w:r>
              <w:rPr>
                <w:b/>
                <w:bCs/>
                <w:color w:val="047857"/>
              </w:rPr>
              <w:t xml:space="preserve">Không quá 10 người</w:t>
            </w:r>
          </w:p>
        </w:tc>
        <w:tc>
          <w:p>
            <w:r>
              <w:t xml:space="preserve">Chặn nạp, bắt buộc điều chỉnh</w:t>
            </w:r>
          </w:p>
        </w:tc>
      </w:tr>
      <w:tr>
        <w:tc>
          <w:p>
            <w:r>
              <w:t xml:space="preserve">Chương trình Cấp 2</w:t>
            </w:r>
          </w:p>
        </w:tc>
        <w:tc>
          <w:p>
            <w:r>
              <w:t xml:space="preserve">Đoàn Khoa, Viện, CLB trực thuộc Trường</w:t>
            </w:r>
          </w:p>
        </w:tc>
        <w:tc>
          <w:p>
            <w:r>
              <w:rPr>
                <w:b/>
                <w:bCs/>
                <w:color w:val="BE123C"/>
              </w:rPr>
              <w:t xml:space="preserve">Không quá 10 người</w:t>
            </w:r>
          </w:p>
        </w:tc>
        <w:tc>
          <w:p>
            <w:r>
              <w:rPr>
                <w:b/>
                <w:bCs/>
                <w:color w:val="047857"/>
              </w:rPr>
              <w:t xml:space="preserve">Không quá 20 người</w:t>
            </w:r>
          </w:p>
        </w:tc>
        <w:tc>
          <w:p>
            <w:r>
              <w:t xml:space="preserve">Chặn nạp, bắt buộc điều chỉnh</w:t>
            </w:r>
          </w:p>
        </w:tc>
      </w:tr>
      <w:tr>
        <w:tc>
          <w:p>
            <w:r>
              <w:t xml:space="preserve">Chương trình Cấp 3</w:t>
            </w:r>
          </w:p>
        </w:tc>
        <w:tc>
          <w:p>
            <w:r>
              <w:t xml:space="preserve">Đoàn Trường, Hội Sinh Viên Trường</w:t>
            </w:r>
          </w:p>
        </w:tc>
        <w:tc>
          <w:p>
            <w:r>
              <w:rPr>
                <w:b/>
                <w:bCs/>
                <w:color w:val="BE123C"/>
              </w:rPr>
              <w:t xml:space="preserve">Không quá 15 người</w:t>
            </w:r>
          </w:p>
        </w:tc>
        <w:tc>
          <w:p>
            <w:r>
              <w:rPr>
                <w:b/>
                <w:bCs/>
                <w:color w:val="047857"/>
              </w:rPr>
              <w:t xml:space="preserve">Không quá 30 người</w:t>
            </w:r>
          </w:p>
        </w:tc>
        <w:tc>
          <w:p>
            <w:r>
              <w:t xml:space="preserve">Chặn nạp, bắt buộc điều chỉnh</w:t>
            </w:r>
          </w:p>
        </w:tc>
      </w:tr>
      <w:tr>
        <w:tc>
          <w:p>
            <w:r>
              <w:t xml:space="preserve">Chương trình Cấp 4</w:t>
            </w:r>
          </w:p>
        </w:tc>
        <w:tc>
          <w:p>
            <w:r>
              <w:t xml:space="preserve">Cấp Toàn Trường quy mô lớn</w:t>
            </w:r>
          </w:p>
        </w:tc>
        <w:tc>
          <w:p>
            <w:r>
              <w:rPr>
                <w:b/>
                <w:bCs/>
                <w:color w:val="BE123C"/>
              </w:rPr>
              <w:t xml:space="preserve">Không quá 20 người</w:t>
            </w:r>
          </w:p>
        </w:tc>
        <w:tc>
          <w:p>
            <w:r>
              <w:rPr>
                <w:b/>
                <w:bCs/>
                <w:color w:val="047857"/>
              </w:rPr>
              <w:t xml:space="preserve">Không quá 40 người</w:t>
            </w:r>
          </w:p>
        </w:tc>
        <w:tc>
          <w:p>
            <w:r>
              <w:t xml:space="preserve">Chặn nạp, bắt buộc điều chỉnh</w:t>
            </w:r>
          </w:p>
        </w:tc>
      </w:tr>
    </w:tbl>
    <w:p>
      <w:pPr>
        <w:spacing w:after="80" w:before="200"/>
        <w:jc w:val="center"/>
      </w:pPr>
      <w:r>
        <w:drawing>
          <wp:inline distT="0" distB="0" distL="0" distR="0">
            <wp:extent cx="5524500" cy="2305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spacing w:after="280"/>
        <w:jc w:val="center"/>
      </w:pPr>
      <w:r>
        <w:rPr>
          <w:i/>
          <w:iCs/>
          <w:color w:val="64748B"/>
          <w:sz w:val="20"/>
          <w:szCs w:val="20"/>
        </w:rPr>
        <w:t xml:space="preserve">Hình 2: Sơ đồ ma trận định mức Ban Tổ Chức &amp; Cộng Tác Viên tự động trên NLU Youth 2026</w:t>
      </w:r>
    </w:p>
    <w:p>
      <w:pPr>
        <w:pStyle w:val="Heading1"/>
        <w:spacing w:after="180" w:before="360"/>
      </w:pPr>
      <w:r>
        <w:rPr>
          <w:b/>
          <w:bCs/>
          <w:color w:val="065F46"/>
          <w:sz w:val="28"/>
          <w:szCs w:val="28"/>
        </w:rPr>
        <w:t xml:space="preserve">5. TIÊU CHUẨN ĐỒNG NHẤT 100% FILE NHẬP DỮ LIỆU (.XLSX)</w:t>
      </w:r>
    </w:p>
    <w:p>
      <w:pPr>
        <w:spacing w:after="140"/>
      </w:pPr>
      <w:r>
        <w:t xml:space="preserve">Hệ thống đã chuẩn hóa toàn bộ các luồng import sang tệp Microsoft Excel OpenXML (.xlsx). Toàn bộ các định dạng cũ (CSV, TXT, XLS) sẽ bị từ chối để đảm bảo toàn vẹn dữ liệu tiếng Việt có dấu và định dạng cột.</w:t>
      </w:r>
    </w:p>
    <w:p>
      <w:pPr>
        <w:pStyle w:val="Heading1"/>
        <w:spacing w:after="180" w:before="360"/>
      </w:pPr>
      <w:r>
        <w:rPr>
          <w:b/>
          <w:bCs/>
          <w:color w:val="065F46"/>
          <w:sz w:val="28"/>
          <w:szCs w:val="28"/>
        </w:rPr>
        <w:t xml:space="preserve">6. THÔNG TIN HỖ TRỢ KỸ THUẬT VÀ LIÊN HỆ</w:t>
      </w:r>
    </w:p>
    <w:p>
      <w:pPr>
        <w:spacing w:after="80"/>
      </w:pPr>
      <w:r>
        <w:rPr>
          <w:b/>
          <w:bCs/>
        </w:rPr>
        <w:t xml:space="preserve">• Đơn vị quản lý: </w:t>
      </w:r>
      <w:r>
        <w:t xml:space="preserve">Đoàn TNCS Hồ Chí Minh - Hội Sinh Viên Trường Đại học Nông Lâm TP.HCM
</w:t>
      </w:r>
      <w:r>
        <w:rPr>
          <w:b/>
          <w:bCs/>
        </w:rPr>
        <w:t xml:space="preserve">• Địa chỉ: </w:t>
      </w:r>
      <w:r>
        <w:t xml:space="preserve">Nhà Văn Hóa Sinh Viên, Phường Linh Trung, TP. Thủ Đức, TP. Hồ Chí Minh
</w:t>
      </w:r>
      <w:r>
        <w:rPr>
          <w:b/>
          <w:bCs/>
        </w:rPr>
        <w:t xml:space="preserve">• Email hỗ trợ: </w:t>
      </w:r>
      <w:r>
        <w:t xml:space="preserve">doantruong@hcmuaf.edu.vn | hoisinhvien@hcmuaf.edu.vn
</w:t>
      </w:r>
      <w:r>
        <w:rPr>
          <w:b/>
          <w:bCs/>
        </w:rPr>
        <w:t xml:space="preserve">• Cổng thông tin: </w:t>
      </w:r>
      <w:r>
        <w:t xml:space="preserve">https://ais-dev-pkfxtcvzc7utzlvet2ceoj-872190420203.asia-southeast1.run.app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Tài liệu Hướng Dẫn Sử Dụng Hệ Thống | Trang </w:t>
    </w:r>
    <w:r>
      <w:rPr>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NLU YOUTH 2026 — ĐẠI HỌC NÔNG LÂM TP. HỒ CHÍ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c42e933de1397c977b114b16dcaafa10d4096f.png"/><Relationship Id="rId10" Type="http://schemas.openxmlformats.org/officeDocument/2006/relationships/image" Target="media/6c7ef80dd1b5ff07a2796f4cc6efe7fcdf0132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2026-10-11T13:42:30.371Z</dcterms:created>
  <dcterms:modified xsi:type="dcterms:W3CDTF">2026-10-11T13:42:30.371Z</dcterms:modified>
</cp:coreProperties>
</file>

<file path=docProps/custom.xml><?xml version="1.0" encoding="utf-8"?>
<Properties xmlns="http://schemas.openxmlformats.org/officeDocument/2006/custom-properties" xmlns:vt="http://schemas.openxmlformats.org/officeDocument/2006/docPropsVTypes"/>
</file>