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2545"/>
          <w:sz w:val="52"/>
        </w:rPr>
        <w:t>Báo Cáo Thực Nghiệm</w:t>
        <w:br/>
        <w:t>Unlearnable Examples</w:t>
      </w:r>
    </w:p>
    <w:p>
      <w:pPr>
        <w:jc w:val="center"/>
      </w:pPr>
      <w:r>
        <w:rPr>
          <w:color w:val="59636E"/>
          <w:sz w:val="30"/>
        </w:rPr>
        <w:t>Adversarial Data Protection Framework</w:t>
      </w:r>
    </w:p>
    <w:p/>
    <w:tbl>
      <w:tblPr>
        <w:tblStyle w:val="TableGrid"/>
        <w:tblW w:type="auto" w:w="0"/>
        <w:jc w:val="center"/>
        <w:tblLook w:firstColumn="1" w:firstRow="1" w:lastColumn="0" w:lastRow="0" w:noHBand="0" w:noVBand="1" w:val="04A0"/>
      </w:tblPr>
      <w:tblGrid>
        <w:gridCol w:w="4680"/>
        <w:gridCol w:w="4680"/>
      </w:tblGrid>
      <w:tr>
        <w:tc>
          <w:tcPr>
            <w:tcW w:type="dxa" w:w="4680"/>
            <w:shd w:fill="24292F"/>
            <w:vAlign w:val="center"/>
          </w:tcPr>
          <w:p>
            <w:pPr>
              <w:jc w:val="center"/>
            </w:pPr>
            <w:r/>
            <w:r>
              <w:rPr>
                <w:b/>
                <w:color w:val="FFFFFF"/>
                <w:sz w:val="16"/>
              </w:rPr>
              <w:t>Mục</w:t>
            </w:r>
          </w:p>
        </w:tc>
        <w:tc>
          <w:tcPr>
            <w:tcW w:type="dxa" w:w="4680"/>
            <w:shd w:fill="24292F"/>
            <w:vAlign w:val="center"/>
          </w:tcPr>
          <w:p>
            <w:pPr>
              <w:jc w:val="center"/>
            </w:pPr>
            <w:r/>
            <w:r>
              <w:rPr>
                <w:b/>
                <w:color w:val="FFFFFF"/>
                <w:sz w:val="16"/>
              </w:rPr>
              <w:t>Thông tin</w:t>
            </w:r>
          </w:p>
        </w:tc>
      </w:tr>
      <w:tr>
        <w:tc>
          <w:tcPr>
            <w:tcW w:type="dxa" w:w="4680"/>
            <w:vAlign w:val="center"/>
          </w:tcPr>
          <w:p>
            <w:pPr>
              <w:jc w:val="center"/>
            </w:pPr>
            <w:r/>
            <w:r>
              <w:rPr>
                <w:b w:val="0"/>
                <w:sz w:val="16"/>
              </w:rPr>
              <w:t>Project</w:t>
            </w:r>
          </w:p>
        </w:tc>
        <w:tc>
          <w:tcPr>
            <w:tcW w:type="dxa" w:w="4680"/>
            <w:vAlign w:val="center"/>
          </w:tcPr>
          <w:p>
            <w:pPr>
              <w:jc w:val="center"/>
            </w:pPr>
            <w:r/>
            <w:r>
              <w:rPr>
                <w:b w:val="0"/>
                <w:sz w:val="16"/>
              </w:rPr>
              <w:t>Adversarial Data Protection Framework</w:t>
            </w:r>
          </w:p>
        </w:tc>
      </w:tr>
      <w:tr>
        <w:tc>
          <w:tcPr>
            <w:tcW w:type="dxa" w:w="4680"/>
            <w:shd w:fill="F2F4F7"/>
            <w:vAlign w:val="center"/>
          </w:tcPr>
          <w:p>
            <w:pPr>
              <w:jc w:val="center"/>
            </w:pPr>
            <w:r/>
            <w:r>
              <w:rPr>
                <w:b w:val="0"/>
                <w:sz w:val="16"/>
              </w:rPr>
              <w:t>Kỹ thuật trọng tâm</w:t>
            </w:r>
          </w:p>
        </w:tc>
        <w:tc>
          <w:tcPr>
            <w:tcW w:type="dxa" w:w="4680"/>
            <w:shd w:fill="F2F4F7"/>
            <w:vAlign w:val="center"/>
          </w:tcPr>
          <w:p>
            <w:pPr>
              <w:jc w:val="center"/>
            </w:pPr>
            <w:r/>
            <w:r>
              <w:rPr>
                <w:b w:val="0"/>
                <w:sz w:val="16"/>
              </w:rPr>
              <w:t>Unlearnable Examples / Error-Minimizing Noise</w:t>
            </w:r>
          </w:p>
        </w:tc>
      </w:tr>
      <w:tr>
        <w:tc>
          <w:tcPr>
            <w:tcW w:type="dxa" w:w="4680"/>
            <w:vAlign w:val="center"/>
          </w:tcPr>
          <w:p>
            <w:pPr>
              <w:jc w:val="center"/>
            </w:pPr>
            <w:r/>
            <w:r>
              <w:rPr>
                <w:b w:val="0"/>
                <w:sz w:val="16"/>
              </w:rPr>
              <w:t>Dataset chính</w:t>
            </w:r>
          </w:p>
        </w:tc>
        <w:tc>
          <w:tcPr>
            <w:tcW w:type="dxa" w:w="4680"/>
            <w:vAlign w:val="center"/>
          </w:tcPr>
          <w:p>
            <w:pPr>
              <w:jc w:val="center"/>
            </w:pPr>
            <w:r/>
            <w:r>
              <w:rPr>
                <w:b w:val="0"/>
                <w:sz w:val="16"/>
              </w:rPr>
              <w:t>CIFAR-10</w:t>
            </w:r>
          </w:p>
        </w:tc>
      </w:tr>
      <w:tr>
        <w:tc>
          <w:tcPr>
            <w:tcW w:type="dxa" w:w="4680"/>
            <w:shd w:fill="F2F4F7"/>
            <w:vAlign w:val="center"/>
          </w:tcPr>
          <w:p>
            <w:pPr>
              <w:jc w:val="center"/>
            </w:pPr>
            <w:r/>
            <w:r>
              <w:rPr>
                <w:b w:val="0"/>
                <w:sz w:val="16"/>
              </w:rPr>
              <w:t>Surrogate chính</w:t>
            </w:r>
          </w:p>
        </w:tc>
        <w:tc>
          <w:tcPr>
            <w:tcW w:type="dxa" w:w="4680"/>
            <w:shd w:fill="F2F4F7"/>
            <w:vAlign w:val="center"/>
          </w:tcPr>
          <w:p>
            <w:pPr>
              <w:jc w:val="center"/>
            </w:pPr>
            <w:r/>
            <w:r>
              <w:rPr>
                <w:b w:val="0"/>
                <w:sz w:val="16"/>
              </w:rPr>
              <w:t>ResNet-18 đã điều chỉnh cho CIFAR-10</w:t>
            </w:r>
          </w:p>
        </w:tc>
      </w:tr>
      <w:tr>
        <w:tc>
          <w:tcPr>
            <w:tcW w:type="dxa" w:w="4680"/>
            <w:vAlign w:val="center"/>
          </w:tcPr>
          <w:p>
            <w:pPr>
              <w:jc w:val="center"/>
            </w:pPr>
            <w:r/>
            <w:r>
              <w:rPr>
                <w:b w:val="0"/>
                <w:sz w:val="16"/>
              </w:rPr>
              <w:t>Victim models</w:t>
            </w:r>
          </w:p>
        </w:tc>
        <w:tc>
          <w:tcPr>
            <w:tcW w:type="dxa" w:w="4680"/>
            <w:vAlign w:val="center"/>
          </w:tcPr>
          <w:p>
            <w:pPr>
              <w:jc w:val="center"/>
            </w:pPr>
            <w:r/>
            <w:r>
              <w:rPr>
                <w:b w:val="0"/>
                <w:sz w:val="16"/>
              </w:rPr>
              <w:t>ResNet-18, MobileNetV2, VGG-16</w:t>
            </w:r>
          </w:p>
        </w:tc>
      </w:tr>
      <w:tr>
        <w:tc>
          <w:tcPr>
            <w:tcW w:type="dxa" w:w="4680"/>
            <w:shd w:fill="F2F4F7"/>
            <w:vAlign w:val="center"/>
          </w:tcPr>
          <w:p>
            <w:pPr>
              <w:jc w:val="center"/>
            </w:pPr>
            <w:r/>
            <w:r>
              <w:rPr>
                <w:b w:val="0"/>
                <w:sz w:val="16"/>
              </w:rPr>
              <w:t>Kết quả chính</w:t>
            </w:r>
          </w:p>
        </w:tc>
        <w:tc>
          <w:tcPr>
            <w:tcW w:type="dxa" w:w="4680"/>
            <w:shd w:fill="F2F4F7"/>
            <w:vAlign w:val="center"/>
          </w:tcPr>
          <w:p>
            <w:pPr>
              <w:jc w:val="center"/>
            </w:pPr>
            <w:r/>
            <w:r>
              <w:rPr>
                <w:b w:val="0"/>
                <w:sz w:val="16"/>
              </w:rPr>
              <w:t>Protected clean test accuracy giảm về gần random guessing (~0.10)</w:t>
            </w:r>
          </w:p>
        </w:tc>
      </w:tr>
    </w:tbl>
    <w:p/>
    <w:p>
      <w:r>
        <w:br w:type="page"/>
      </w:r>
    </w:p>
    <w:p>
      <w:pPr>
        <w:pStyle w:val="Heading1"/>
      </w:pPr>
      <w:r>
        <w:t>1. Tổng Quan Project</w:t>
      </w:r>
    </w:p>
    <w:p>
      <w:r>
        <w:t>Project này nghiên cứu nhóm kỹ thuật làm nhiễu dữ liệu ảnh nhằm ngăn chặn việc trích xuất đặc trưng phục vụ huấn luyện mô hình học sâu. Trọng tâm hiện tại là kỹ thuật Unlearnable Examples, trong đó nhiễu được tối ưu để mô hình học các shortcut giả thay vì học đặc trưng thật của ảnh.</w:t>
      </w:r>
    </w:p>
    <w:p>
      <w:r>
        <w:t>Mục tiêu thực nghiệm không phải là làm mô hình phân loại sai trên chính ảnh đã nhiễu, mà là kiểm tra xem mô hình sau khi được huấn luyện trên protected dataset có còn tổng quát hóa được lên clean test set hay không.</w:t>
      </w:r>
    </w:p>
    <w:p>
      <w:pPr>
        <w:pStyle w:val="Heading1"/>
      </w:pPr>
      <w:r>
        <w:t>2. Cơ Chế Unlearnable Examples</w:t>
      </w:r>
    </w:p>
    <w:p>
      <w:r>
        <w:t>Unlearnable Examples trong project này được triển khai theo hướng error-minimizing noise. Với mỗi lớp ảnh, hệ thống học một nhiễu class-wise có chuẩn L-infinity bị giới hạn bởi epsilon. Sau đó nhiễu này được cộng vào ảnh clean để tạo protected dataset.</w:t>
      </w:r>
    </w:p>
    <w:p>
      <w:r>
        <w:t>Quy trình sinh nhiễu có hai vòng lặp chính:</w:t>
      </w:r>
    </w:p>
    <w:p>
      <w:pPr>
        <w:pStyle w:val="ListBullet"/>
        <w:spacing w:after="80"/>
      </w:pPr>
      <w:r>
        <w:t>Vòng trong: huấn luyện surrogate model tạm thời trên dữ liệu đã được thêm nhiễu.</w:t>
      </w:r>
    </w:p>
    <w:p>
      <w:pPr>
        <w:pStyle w:val="ListBullet"/>
        <w:spacing w:after="80"/>
      </w:pPr>
      <w:r>
        <w:t>Vòng ngoài: cập nhật noise bằng PGD dựa trên gradient theo noise/input, không cập nhật trực tiếp weight của victim.</w:t>
      </w:r>
    </w:p>
    <w:p>
      <w:r>
        <w:t>Cách làm này khiến mô hình dễ học tín hiệu nhiễu hơn đặc trưng thật. Khi đánh giá trên clean test set, những shortcut đó không còn tồn tại, dẫn đến accuracy giảm mạnh.</w:t>
      </w:r>
    </w:p>
    <w:p>
      <w:pPr>
        <w:pStyle w:val="Heading1"/>
      </w:pPr>
      <w:r>
        <w:t>3. Thuật Ngữ Trong Thực Nghiệm</w:t>
      </w:r>
    </w:p>
    <w:tbl>
      <w:tblPr>
        <w:tblStyle w:val="TableGrid"/>
        <w:tblW w:type="auto" w:w="0"/>
        <w:jc w:val="center"/>
        <w:tblLook w:firstColumn="1" w:firstRow="1" w:lastColumn="0" w:lastRow="0" w:noHBand="0" w:noVBand="1" w:val="04A0"/>
      </w:tblPr>
      <w:tblGrid>
        <w:gridCol w:w="4680"/>
        <w:gridCol w:w="4680"/>
      </w:tblGrid>
      <w:tr>
        <w:tc>
          <w:tcPr>
            <w:tcW w:type="dxa" w:w="4680"/>
            <w:shd w:fill="24292F"/>
            <w:vAlign w:val="center"/>
          </w:tcPr>
          <w:p>
            <w:pPr>
              <w:jc w:val="center"/>
            </w:pPr>
            <w:r/>
            <w:r>
              <w:rPr>
                <w:b/>
                <w:color w:val="FFFFFF"/>
                <w:sz w:val="16"/>
              </w:rPr>
              <w:t>Thuật ngữ</w:t>
            </w:r>
          </w:p>
        </w:tc>
        <w:tc>
          <w:tcPr>
            <w:tcW w:type="dxa" w:w="4680"/>
            <w:shd w:fill="24292F"/>
            <w:vAlign w:val="center"/>
          </w:tcPr>
          <w:p>
            <w:pPr>
              <w:jc w:val="center"/>
            </w:pPr>
            <w:r/>
            <w:r>
              <w:rPr>
                <w:b/>
                <w:color w:val="FFFFFF"/>
                <w:sz w:val="16"/>
              </w:rPr>
              <w:t>Ý nghĩa trong project</w:t>
            </w:r>
          </w:p>
        </w:tc>
      </w:tr>
      <w:tr>
        <w:tc>
          <w:tcPr>
            <w:tcW w:type="dxa" w:w="4680"/>
            <w:vAlign w:val="center"/>
          </w:tcPr>
          <w:p>
            <w:pPr>
              <w:jc w:val="center"/>
            </w:pPr>
            <w:r/>
            <w:r>
              <w:rPr>
                <w:b w:val="0"/>
                <w:sz w:val="16"/>
              </w:rPr>
              <w:t>Clean dataset</w:t>
            </w:r>
          </w:p>
        </w:tc>
        <w:tc>
          <w:tcPr>
            <w:tcW w:type="dxa" w:w="4680"/>
            <w:vAlign w:val="center"/>
          </w:tcPr>
          <w:p>
            <w:pPr>
              <w:jc w:val="center"/>
            </w:pPr>
            <w:r/>
            <w:r>
              <w:rPr>
                <w:b w:val="0"/>
                <w:sz w:val="16"/>
              </w:rPr>
              <w:t>Dữ liệu gốc chưa thêm nhiễu.</w:t>
            </w:r>
          </w:p>
        </w:tc>
      </w:tr>
      <w:tr>
        <w:tc>
          <w:tcPr>
            <w:tcW w:type="dxa" w:w="4680"/>
            <w:shd w:fill="F2F4F7"/>
            <w:vAlign w:val="center"/>
          </w:tcPr>
          <w:p>
            <w:pPr>
              <w:jc w:val="center"/>
            </w:pPr>
            <w:r/>
            <w:r>
              <w:rPr>
                <w:b w:val="0"/>
                <w:sz w:val="16"/>
              </w:rPr>
              <w:t>Protected dataset</w:t>
            </w:r>
          </w:p>
        </w:tc>
        <w:tc>
          <w:tcPr>
            <w:tcW w:type="dxa" w:w="4680"/>
            <w:shd w:fill="F2F4F7"/>
            <w:vAlign w:val="center"/>
          </w:tcPr>
          <w:p>
            <w:pPr>
              <w:jc w:val="center"/>
            </w:pPr>
            <w:r/>
            <w:r>
              <w:rPr>
                <w:b w:val="0"/>
                <w:sz w:val="16"/>
              </w:rPr>
              <w:t>Dữ liệu training sau khi áp dụng unlearnable noise.</w:t>
            </w:r>
          </w:p>
        </w:tc>
      </w:tr>
      <w:tr>
        <w:tc>
          <w:tcPr>
            <w:tcW w:type="dxa" w:w="4680"/>
            <w:vAlign w:val="center"/>
          </w:tcPr>
          <w:p>
            <w:pPr>
              <w:jc w:val="center"/>
            </w:pPr>
            <w:r/>
            <w:r>
              <w:rPr>
                <w:b w:val="0"/>
                <w:sz w:val="16"/>
              </w:rPr>
              <w:t>Surrogate model</w:t>
            </w:r>
          </w:p>
        </w:tc>
        <w:tc>
          <w:tcPr>
            <w:tcW w:type="dxa" w:w="4680"/>
            <w:vAlign w:val="center"/>
          </w:tcPr>
          <w:p>
            <w:pPr>
              <w:jc w:val="center"/>
            </w:pPr>
            <w:r/>
            <w:r>
              <w:rPr>
                <w:b w:val="0"/>
                <w:sz w:val="16"/>
              </w:rPr>
              <w:t>Mô hình dùng để sinh noise. Trong thí nghiệm chính là ResNet-18.</w:t>
            </w:r>
          </w:p>
        </w:tc>
      </w:tr>
      <w:tr>
        <w:tc>
          <w:tcPr>
            <w:tcW w:type="dxa" w:w="4680"/>
            <w:shd w:fill="F2F4F7"/>
            <w:vAlign w:val="center"/>
          </w:tcPr>
          <w:p>
            <w:pPr>
              <w:jc w:val="center"/>
            </w:pPr>
            <w:r/>
            <w:r>
              <w:rPr>
                <w:b w:val="0"/>
                <w:sz w:val="16"/>
              </w:rPr>
              <w:t>Victim model</w:t>
            </w:r>
          </w:p>
        </w:tc>
        <w:tc>
          <w:tcPr>
            <w:tcW w:type="dxa" w:w="4680"/>
            <w:shd w:fill="F2F4F7"/>
            <w:vAlign w:val="center"/>
          </w:tcPr>
          <w:p>
            <w:pPr>
              <w:jc w:val="center"/>
            </w:pPr>
            <w:r/>
            <w:r>
              <w:rPr>
                <w:b w:val="0"/>
                <w:sz w:val="16"/>
              </w:rPr>
              <w:t>Mô hình được train trên protected dataset để kiểm tra hiệu quả bảo vệ.</w:t>
            </w:r>
          </w:p>
        </w:tc>
      </w:tr>
      <w:tr>
        <w:tc>
          <w:tcPr>
            <w:tcW w:type="dxa" w:w="4680"/>
            <w:vAlign w:val="center"/>
          </w:tcPr>
          <w:p>
            <w:pPr>
              <w:jc w:val="center"/>
            </w:pPr>
            <w:r/>
            <w:r>
              <w:rPr>
                <w:b w:val="0"/>
                <w:sz w:val="16"/>
              </w:rPr>
              <w:t>Clean test accuracy</w:t>
            </w:r>
          </w:p>
        </w:tc>
        <w:tc>
          <w:tcPr>
            <w:tcW w:type="dxa" w:w="4680"/>
            <w:vAlign w:val="center"/>
          </w:tcPr>
          <w:p>
            <w:pPr>
              <w:jc w:val="center"/>
            </w:pPr>
            <w:r/>
            <w:r>
              <w:rPr>
                <w:b w:val="0"/>
                <w:sz w:val="16"/>
              </w:rPr>
              <w:t>Accuracy của victim trên test set sạch, dùng để đo mô hình có học thật hay không.</w:t>
            </w:r>
          </w:p>
        </w:tc>
      </w:tr>
      <w:tr>
        <w:tc>
          <w:tcPr>
            <w:tcW w:type="dxa" w:w="4680"/>
            <w:shd w:fill="F2F4F7"/>
            <w:vAlign w:val="center"/>
          </w:tcPr>
          <w:p>
            <w:pPr>
              <w:jc w:val="center"/>
            </w:pPr>
            <w:r/>
            <w:r>
              <w:rPr>
                <w:b w:val="0"/>
                <w:sz w:val="16"/>
              </w:rPr>
              <w:t>ASR proxy</w:t>
            </w:r>
          </w:p>
        </w:tc>
        <w:tc>
          <w:tcPr>
            <w:tcW w:type="dxa" w:w="4680"/>
            <w:shd w:fill="F2F4F7"/>
            <w:vAlign w:val="center"/>
          </w:tcPr>
          <w:p>
            <w:pPr>
              <w:jc w:val="center"/>
            </w:pPr>
            <w:r/>
            <w:r>
              <w:rPr>
                <w:b w:val="0"/>
                <w:sz w:val="16"/>
              </w:rPr>
              <w:t>Attack success proxy, tính gần đúng bằng 1 - protected clean test accuracy.</w:t>
            </w:r>
          </w:p>
        </w:tc>
      </w:tr>
    </w:tbl>
    <w:p/>
    <w:p>
      <w:pPr>
        <w:pStyle w:val="Heading1"/>
      </w:pPr>
      <w:r>
        <w:t>4. Protocol Đánh Giá</w:t>
      </w:r>
    </w:p>
    <w:p>
      <w:r>
        <w:t>Protocol đánh giá được chuẩn hóa như sau:</w:t>
      </w:r>
    </w:p>
    <w:p>
      <w:pPr>
        <w:pStyle w:val="ListNumber"/>
        <w:spacing w:after="80"/>
      </w:pPr>
      <w:r>
        <w:t>Train baseline victim trên clean training set.</w:t>
      </w:r>
    </w:p>
    <w:p>
      <w:pPr>
        <w:pStyle w:val="ListNumber"/>
        <w:spacing w:after="80"/>
      </w:pPr>
      <w:r>
        <w:t>Đánh giá baseline victim trên clean test set.</w:t>
      </w:r>
    </w:p>
    <w:p>
      <w:pPr>
        <w:pStyle w:val="ListNumber"/>
        <w:spacing w:after="80"/>
      </w:pPr>
      <w:r>
        <w:t>Sinh class-wise unlearnable noise bằng surrogate model.</w:t>
      </w:r>
    </w:p>
    <w:p>
      <w:pPr>
        <w:pStyle w:val="ListNumber"/>
        <w:spacing w:after="80"/>
      </w:pPr>
      <w:r>
        <w:t>Áp dụng noise lên clean training set để tạo protected dataset.</w:t>
      </w:r>
    </w:p>
    <w:p>
      <w:pPr>
        <w:pStyle w:val="ListNumber"/>
        <w:spacing w:after="80"/>
      </w:pPr>
      <w:r>
        <w:t>Train victim model mới trên protected dataset.</w:t>
      </w:r>
    </w:p>
    <w:p>
      <w:pPr>
        <w:pStyle w:val="ListNumber"/>
        <w:spacing w:after="80"/>
      </w:pPr>
      <w:r>
        <w:t>Đánh giá victim này trên clean test set.</w:t>
      </w:r>
    </w:p>
    <w:p>
      <w:r>
        <w:t>Điểm quan trọng nhất là victim sau khi train trên protected dataset phải được đánh giá trên clean test set. Nếu đánh giá trên ảnh đã nhiễu, kết quả sẽ không phản ánh việc mô hình có học được đặc trưng thật hay không.</w:t>
      </w:r>
    </w:p>
    <w:p>
      <w:pPr>
        <w:pStyle w:val="Heading1"/>
      </w:pPr>
      <w:r>
        <w:t>5. Giai Đoạn 1: Thử Nghiệm Ban Đầu Trên Subset 5000</w:t>
      </w:r>
    </w:p>
    <w:p>
      <w:r>
        <w:t>Giai đoạn đầu dùng subset 5000 ảnh để kiểm tra pipeline sinh nhiễu, train baseline, train victim trên protected dataset và tính các metric cơ bản. Ở giai đoạn này chưa có validation protocol chặt chẽ, nên kết quả chỉ dùng để thăm dò.</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24292F"/>
            <w:vAlign w:val="center"/>
          </w:tcPr>
          <w:p>
            <w:pPr>
              <w:jc w:val="center"/>
            </w:pPr>
            <w:r/>
            <w:r>
              <w:rPr>
                <w:b/>
                <w:color w:val="FFFFFF"/>
                <w:sz w:val="16"/>
              </w:rPr>
              <w:t>Epsilon</w:t>
            </w:r>
          </w:p>
        </w:tc>
        <w:tc>
          <w:tcPr>
            <w:tcW w:type="dxa" w:w="1040"/>
            <w:shd w:fill="24292F"/>
            <w:vAlign w:val="center"/>
          </w:tcPr>
          <w:p>
            <w:pPr>
              <w:jc w:val="center"/>
            </w:pPr>
            <w:r/>
            <w:r>
              <w:rPr>
                <w:b/>
                <w:color w:val="FFFFFF"/>
                <w:sz w:val="16"/>
              </w:rPr>
              <w:t>Train size</w:t>
            </w:r>
          </w:p>
        </w:tc>
        <w:tc>
          <w:tcPr>
            <w:tcW w:type="dxa" w:w="1040"/>
            <w:shd w:fill="24292F"/>
            <w:vAlign w:val="center"/>
          </w:tcPr>
          <w:p>
            <w:pPr>
              <w:jc w:val="center"/>
            </w:pPr>
            <w:r/>
            <w:r>
              <w:rPr>
                <w:b/>
                <w:color w:val="FFFFFF"/>
                <w:sz w:val="16"/>
              </w:rPr>
              <w:t>Victim</w:t>
            </w:r>
          </w:p>
        </w:tc>
        <w:tc>
          <w:tcPr>
            <w:tcW w:type="dxa" w:w="1040"/>
            <w:shd w:fill="24292F"/>
            <w:vAlign w:val="center"/>
          </w:tcPr>
          <w:p>
            <w:pPr>
              <w:jc w:val="center"/>
            </w:pPr>
            <w:r/>
            <w:r>
              <w:rPr>
                <w:b/>
                <w:color w:val="FFFFFF"/>
                <w:sz w:val="16"/>
              </w:rPr>
              <w:t>Baseline acc</w:t>
            </w:r>
          </w:p>
        </w:tc>
        <w:tc>
          <w:tcPr>
            <w:tcW w:type="dxa" w:w="1040"/>
            <w:shd w:fill="24292F"/>
            <w:vAlign w:val="center"/>
          </w:tcPr>
          <w:p>
            <w:pPr>
              <w:jc w:val="center"/>
            </w:pPr>
            <w:r/>
            <w:r>
              <w:rPr>
                <w:b/>
                <w:color w:val="FFFFFF"/>
                <w:sz w:val="16"/>
              </w:rPr>
              <w:t>Protected acc</w:t>
            </w:r>
          </w:p>
        </w:tc>
        <w:tc>
          <w:tcPr>
            <w:tcW w:type="dxa" w:w="1040"/>
            <w:shd w:fill="24292F"/>
            <w:vAlign w:val="center"/>
          </w:tcPr>
          <w:p>
            <w:pPr>
              <w:jc w:val="center"/>
            </w:pPr>
            <w:r/>
            <w:r>
              <w:rPr>
                <w:b/>
                <w:color w:val="FFFFFF"/>
                <w:sz w:val="16"/>
              </w:rPr>
              <w:t>Drop</w:t>
            </w:r>
          </w:p>
        </w:tc>
        <w:tc>
          <w:tcPr>
            <w:tcW w:type="dxa" w:w="1040"/>
            <w:shd w:fill="24292F"/>
            <w:vAlign w:val="center"/>
          </w:tcPr>
          <w:p>
            <w:pPr>
              <w:jc w:val="center"/>
            </w:pPr>
            <w:r/>
            <w:r>
              <w:rPr>
                <w:b/>
                <w:color w:val="FFFFFF"/>
                <w:sz w:val="16"/>
              </w:rPr>
              <w:t>ASR</w:t>
            </w:r>
          </w:p>
        </w:tc>
        <w:tc>
          <w:tcPr>
            <w:tcW w:type="dxa" w:w="1040"/>
            <w:shd w:fill="24292F"/>
            <w:vAlign w:val="center"/>
          </w:tcPr>
          <w:p>
            <w:pPr>
              <w:jc w:val="center"/>
            </w:pPr>
            <w:r/>
            <w:r>
              <w:rPr>
                <w:b/>
                <w:color w:val="FFFFFF"/>
                <w:sz w:val="16"/>
              </w:rPr>
              <w:t>PSNR</w:t>
            </w:r>
          </w:p>
        </w:tc>
        <w:tc>
          <w:tcPr>
            <w:tcW w:type="dxa" w:w="1040"/>
            <w:shd w:fill="24292F"/>
            <w:vAlign w:val="center"/>
          </w:tcPr>
          <w:p>
            <w:pPr>
              <w:jc w:val="center"/>
            </w:pPr>
            <w:r/>
            <w:r>
              <w:rPr>
                <w:b/>
                <w:color w:val="FFFFFF"/>
                <w:sz w:val="16"/>
              </w:rPr>
              <w:t>SSIM</w:t>
            </w:r>
          </w:p>
        </w:tc>
      </w:tr>
      <w:tr>
        <w:tc>
          <w:tcPr>
            <w:tcW w:type="dxa" w:w="1040"/>
            <w:vAlign w:val="center"/>
          </w:tcPr>
          <w:p>
            <w:pPr>
              <w:jc w:val="center"/>
            </w:pPr>
            <w:r/>
            <w:r>
              <w:rPr>
                <w:b w:val="0"/>
                <w:sz w:val="16"/>
              </w:rPr>
              <w:t>0.01</w:t>
            </w:r>
          </w:p>
        </w:tc>
        <w:tc>
          <w:tcPr>
            <w:tcW w:type="dxa" w:w="1040"/>
            <w:vAlign w:val="center"/>
          </w:tcPr>
          <w:p>
            <w:pPr>
              <w:jc w:val="center"/>
            </w:pPr>
            <w:r/>
            <w:r>
              <w:rPr>
                <w:b w:val="0"/>
                <w:sz w:val="16"/>
              </w:rPr>
              <w:t>5000</w:t>
            </w:r>
          </w:p>
        </w:tc>
        <w:tc>
          <w:tcPr>
            <w:tcW w:type="dxa" w:w="1040"/>
            <w:vAlign w:val="center"/>
          </w:tcPr>
          <w:p>
            <w:pPr>
              <w:jc w:val="center"/>
            </w:pPr>
            <w:r/>
            <w:r>
              <w:rPr>
                <w:b w:val="0"/>
                <w:sz w:val="16"/>
              </w:rPr>
              <w:t>ResNet-18</w:t>
            </w:r>
          </w:p>
        </w:tc>
        <w:tc>
          <w:tcPr>
            <w:tcW w:type="dxa" w:w="1040"/>
            <w:vAlign w:val="center"/>
          </w:tcPr>
          <w:p>
            <w:pPr>
              <w:jc w:val="center"/>
            </w:pPr>
            <w:r/>
            <w:r>
              <w:rPr>
                <w:b w:val="0"/>
                <w:sz w:val="16"/>
              </w:rPr>
              <w:t>0.369</w:t>
            </w:r>
          </w:p>
        </w:tc>
        <w:tc>
          <w:tcPr>
            <w:tcW w:type="dxa" w:w="1040"/>
            <w:vAlign w:val="center"/>
          </w:tcPr>
          <w:p>
            <w:pPr>
              <w:jc w:val="center"/>
            </w:pPr>
            <w:r/>
            <w:r>
              <w:rPr>
                <w:b w:val="0"/>
                <w:sz w:val="16"/>
              </w:rPr>
              <w:t>0.116</w:t>
            </w:r>
          </w:p>
        </w:tc>
        <w:tc>
          <w:tcPr>
            <w:tcW w:type="dxa" w:w="1040"/>
            <w:vAlign w:val="center"/>
          </w:tcPr>
          <w:p>
            <w:pPr>
              <w:jc w:val="center"/>
            </w:pPr>
            <w:r/>
            <w:r>
              <w:rPr>
                <w:b w:val="0"/>
                <w:sz w:val="16"/>
              </w:rPr>
              <w:t>0.253</w:t>
            </w:r>
          </w:p>
        </w:tc>
        <w:tc>
          <w:tcPr>
            <w:tcW w:type="dxa" w:w="1040"/>
            <w:vAlign w:val="center"/>
          </w:tcPr>
          <w:p>
            <w:pPr>
              <w:jc w:val="center"/>
            </w:pPr>
            <w:r/>
            <w:r>
              <w:rPr>
                <w:b w:val="0"/>
                <w:sz w:val="16"/>
              </w:rPr>
              <w:t>0.884</w:t>
            </w:r>
          </w:p>
        </w:tc>
        <w:tc>
          <w:tcPr>
            <w:tcW w:type="dxa" w:w="1040"/>
            <w:vAlign w:val="center"/>
          </w:tcPr>
          <w:p>
            <w:pPr>
              <w:jc w:val="center"/>
            </w:pPr>
            <w:r/>
            <w:r>
              <w:rPr>
                <w:b w:val="0"/>
                <w:sz w:val="16"/>
              </w:rPr>
              <w:t>40.6858</w:t>
            </w:r>
          </w:p>
        </w:tc>
        <w:tc>
          <w:tcPr>
            <w:tcW w:type="dxa" w:w="1040"/>
            <w:vAlign w:val="center"/>
          </w:tcPr>
          <w:p>
            <w:pPr>
              <w:jc w:val="center"/>
            </w:pPr>
            <w:r/>
            <w:r>
              <w:rPr>
                <w:b w:val="0"/>
                <w:sz w:val="16"/>
              </w:rPr>
              <w:t>0.9928</w:t>
            </w:r>
          </w:p>
        </w:tc>
      </w:tr>
      <w:tr>
        <w:tc>
          <w:tcPr>
            <w:tcW w:type="dxa" w:w="1040"/>
            <w:shd w:fill="F2F4F7"/>
            <w:vAlign w:val="center"/>
          </w:tcPr>
          <w:p>
            <w:pPr>
              <w:jc w:val="center"/>
            </w:pPr>
            <w:r/>
            <w:r>
              <w:rPr>
                <w:b w:val="0"/>
                <w:sz w:val="16"/>
              </w:rPr>
              <w:t>0.03</w:t>
            </w:r>
          </w:p>
        </w:tc>
        <w:tc>
          <w:tcPr>
            <w:tcW w:type="dxa" w:w="1040"/>
            <w:shd w:fill="F2F4F7"/>
            <w:vAlign w:val="center"/>
          </w:tcPr>
          <w:p>
            <w:pPr>
              <w:jc w:val="center"/>
            </w:pPr>
            <w:r/>
            <w:r>
              <w:rPr>
                <w:b w:val="0"/>
                <w:sz w:val="16"/>
              </w:rPr>
              <w:t>5000</w:t>
            </w:r>
          </w:p>
        </w:tc>
        <w:tc>
          <w:tcPr>
            <w:tcW w:type="dxa" w:w="1040"/>
            <w:shd w:fill="F2F4F7"/>
            <w:vAlign w:val="center"/>
          </w:tcPr>
          <w:p>
            <w:pPr>
              <w:jc w:val="center"/>
            </w:pPr>
            <w:r/>
            <w:r>
              <w:rPr>
                <w:b w:val="0"/>
                <w:sz w:val="16"/>
              </w:rPr>
              <w:t>ResNet-18</w:t>
            </w:r>
          </w:p>
        </w:tc>
        <w:tc>
          <w:tcPr>
            <w:tcW w:type="dxa" w:w="1040"/>
            <w:shd w:fill="F2F4F7"/>
            <w:vAlign w:val="center"/>
          </w:tcPr>
          <w:p>
            <w:pPr>
              <w:jc w:val="center"/>
            </w:pPr>
            <w:r/>
            <w:r>
              <w:rPr>
                <w:b w:val="0"/>
                <w:sz w:val="16"/>
              </w:rPr>
              <w:t>0.49</w:t>
            </w:r>
          </w:p>
        </w:tc>
        <w:tc>
          <w:tcPr>
            <w:tcW w:type="dxa" w:w="1040"/>
            <w:shd w:fill="F2F4F7"/>
            <w:vAlign w:val="center"/>
          </w:tcPr>
          <w:p>
            <w:pPr>
              <w:jc w:val="center"/>
            </w:pPr>
            <w:r/>
            <w:r>
              <w:rPr>
                <w:b w:val="0"/>
                <w:sz w:val="16"/>
              </w:rPr>
              <w:t>0.123</w:t>
            </w:r>
          </w:p>
        </w:tc>
        <w:tc>
          <w:tcPr>
            <w:tcW w:type="dxa" w:w="1040"/>
            <w:shd w:fill="F2F4F7"/>
            <w:vAlign w:val="center"/>
          </w:tcPr>
          <w:p>
            <w:pPr>
              <w:jc w:val="center"/>
            </w:pPr>
            <w:r/>
            <w:r>
              <w:rPr>
                <w:b w:val="0"/>
                <w:sz w:val="16"/>
              </w:rPr>
              <w:t>0.367</w:t>
            </w:r>
          </w:p>
        </w:tc>
        <w:tc>
          <w:tcPr>
            <w:tcW w:type="dxa" w:w="1040"/>
            <w:shd w:fill="F2F4F7"/>
            <w:vAlign w:val="center"/>
          </w:tcPr>
          <w:p>
            <w:pPr>
              <w:jc w:val="center"/>
            </w:pPr>
            <w:r/>
            <w:r>
              <w:rPr>
                <w:b w:val="0"/>
                <w:sz w:val="16"/>
              </w:rPr>
              <w:t>0.877</w:t>
            </w:r>
          </w:p>
        </w:tc>
        <w:tc>
          <w:tcPr>
            <w:tcW w:type="dxa" w:w="1040"/>
            <w:shd w:fill="F2F4F7"/>
            <w:vAlign w:val="center"/>
          </w:tcPr>
          <w:p>
            <w:pPr>
              <w:jc w:val="center"/>
            </w:pPr>
            <w:r/>
            <w:r>
              <w:rPr>
                <w:b w:val="0"/>
                <w:sz w:val="16"/>
              </w:rPr>
              <w:t>31.4192</w:t>
            </w:r>
          </w:p>
        </w:tc>
        <w:tc>
          <w:tcPr>
            <w:tcW w:type="dxa" w:w="1040"/>
            <w:shd w:fill="F2F4F7"/>
            <w:vAlign w:val="center"/>
          </w:tcPr>
          <w:p>
            <w:pPr>
              <w:jc w:val="center"/>
            </w:pPr>
            <w:r/>
            <w:r>
              <w:rPr>
                <w:b w:val="0"/>
                <w:sz w:val="16"/>
              </w:rPr>
              <w:t>0.9413</w:t>
            </w:r>
          </w:p>
        </w:tc>
      </w:tr>
      <w:tr>
        <w:tc>
          <w:tcPr>
            <w:tcW w:type="dxa" w:w="1040"/>
            <w:vAlign w:val="center"/>
          </w:tcPr>
          <w:p>
            <w:pPr>
              <w:jc w:val="center"/>
            </w:pPr>
            <w:r/>
            <w:r>
              <w:rPr>
                <w:b w:val="0"/>
                <w:sz w:val="16"/>
              </w:rPr>
              <w:t>0.05</w:t>
            </w:r>
          </w:p>
        </w:tc>
        <w:tc>
          <w:tcPr>
            <w:tcW w:type="dxa" w:w="1040"/>
            <w:vAlign w:val="center"/>
          </w:tcPr>
          <w:p>
            <w:pPr>
              <w:jc w:val="center"/>
            </w:pPr>
            <w:r/>
            <w:r>
              <w:rPr>
                <w:b w:val="0"/>
                <w:sz w:val="16"/>
              </w:rPr>
              <w:t>5000</w:t>
            </w:r>
          </w:p>
        </w:tc>
        <w:tc>
          <w:tcPr>
            <w:tcW w:type="dxa" w:w="1040"/>
            <w:vAlign w:val="center"/>
          </w:tcPr>
          <w:p>
            <w:pPr>
              <w:jc w:val="center"/>
            </w:pPr>
            <w:r/>
            <w:r>
              <w:rPr>
                <w:b w:val="0"/>
                <w:sz w:val="16"/>
              </w:rPr>
              <w:t>ResNet-18</w:t>
            </w:r>
          </w:p>
        </w:tc>
        <w:tc>
          <w:tcPr>
            <w:tcW w:type="dxa" w:w="1040"/>
            <w:vAlign w:val="center"/>
          </w:tcPr>
          <w:p>
            <w:pPr>
              <w:jc w:val="center"/>
            </w:pPr>
            <w:r/>
            <w:r>
              <w:rPr>
                <w:b w:val="0"/>
                <w:sz w:val="16"/>
              </w:rPr>
              <w:t>0.385</w:t>
            </w:r>
          </w:p>
        </w:tc>
        <w:tc>
          <w:tcPr>
            <w:tcW w:type="dxa" w:w="1040"/>
            <w:vAlign w:val="center"/>
          </w:tcPr>
          <w:p>
            <w:pPr>
              <w:jc w:val="center"/>
            </w:pPr>
            <w:r/>
            <w:r>
              <w:rPr>
                <w:b w:val="0"/>
                <w:sz w:val="16"/>
              </w:rPr>
              <w:t>0.117</w:t>
            </w:r>
          </w:p>
        </w:tc>
        <w:tc>
          <w:tcPr>
            <w:tcW w:type="dxa" w:w="1040"/>
            <w:vAlign w:val="center"/>
          </w:tcPr>
          <w:p>
            <w:pPr>
              <w:jc w:val="center"/>
            </w:pPr>
            <w:r/>
            <w:r>
              <w:rPr>
                <w:b w:val="0"/>
                <w:sz w:val="16"/>
              </w:rPr>
              <w:t>0.268</w:t>
            </w:r>
          </w:p>
        </w:tc>
        <w:tc>
          <w:tcPr>
            <w:tcW w:type="dxa" w:w="1040"/>
            <w:vAlign w:val="center"/>
          </w:tcPr>
          <w:p>
            <w:pPr>
              <w:jc w:val="center"/>
            </w:pPr>
            <w:r/>
            <w:r>
              <w:rPr>
                <w:b w:val="0"/>
                <w:sz w:val="16"/>
              </w:rPr>
              <w:t>0.883</w:t>
            </w:r>
          </w:p>
        </w:tc>
        <w:tc>
          <w:tcPr>
            <w:tcW w:type="dxa" w:w="1040"/>
            <w:vAlign w:val="center"/>
          </w:tcPr>
          <w:p>
            <w:pPr>
              <w:jc w:val="center"/>
            </w:pPr>
            <w:r/>
            <w:r>
              <w:rPr>
                <w:b w:val="0"/>
                <w:sz w:val="16"/>
              </w:rPr>
              <w:t>27.1187</w:t>
            </w:r>
          </w:p>
        </w:tc>
        <w:tc>
          <w:tcPr>
            <w:tcW w:type="dxa" w:w="1040"/>
            <w:vAlign w:val="center"/>
          </w:tcPr>
          <w:p>
            <w:pPr>
              <w:jc w:val="center"/>
            </w:pPr>
            <w:r/>
            <w:r>
              <w:rPr>
                <w:b w:val="0"/>
                <w:sz w:val="16"/>
              </w:rPr>
              <w:t>0.8834</w:t>
            </w:r>
          </w:p>
        </w:tc>
      </w:tr>
    </w:tbl>
    <w:p/>
    <w:p>
      <w:pPr>
        <w:jc w:val="center"/>
      </w:pPr>
      <w:r>
        <w:drawing>
          <wp:inline xmlns:a="http://schemas.openxmlformats.org/drawingml/2006/main" xmlns:pic="http://schemas.openxmlformats.org/drawingml/2006/picture">
            <wp:extent cx="5943600" cy="1769510"/>
            <wp:docPr id="1" name="Picture 1"/>
            <wp:cNvGraphicFramePr>
              <a:graphicFrameLocks noChangeAspect="1"/>
            </wp:cNvGraphicFramePr>
            <a:graphic>
              <a:graphicData uri="http://schemas.openxmlformats.org/drawingml/2006/picture">
                <pic:pic>
                  <pic:nvPicPr>
                    <pic:cNvPr id="0" name="benchmark_pre_validation_no_seed.png"/>
                    <pic:cNvPicPr/>
                  </pic:nvPicPr>
                  <pic:blipFill>
                    <a:blip r:embed="rId9"/>
                    <a:stretch>
                      <a:fillRect/>
                    </a:stretch>
                  </pic:blipFill>
                  <pic:spPr>
                    <a:xfrm>
                      <a:off x="0" y="0"/>
                      <a:ext cx="5943600" cy="1769510"/>
                    </a:xfrm>
                    <a:prstGeom prst="rect"/>
                  </pic:spPr>
                </pic:pic>
              </a:graphicData>
            </a:graphic>
          </wp:inline>
        </w:drawing>
      </w:r>
    </w:p>
    <w:p>
      <w:pPr>
        <w:spacing w:after="160"/>
        <w:jc w:val="center"/>
      </w:pPr>
      <w:r>
        <w:rPr>
          <w:i/>
          <w:color w:val="59636E"/>
          <w:sz w:val="18"/>
        </w:rPr>
        <w:t>Bảng kết quả thử nghiệm ban đầu khi chưa cố định seed.</w:t>
      </w:r>
    </w:p>
    <w:p>
      <w:r>
        <w:t>Nhận xét: protected accuracy đã giảm về gần 0.10, nhưng baseline accuracy dao động giữa các lần chạy. Điều này cho thấy pipeline có hiệu ứng, nhưng chưa đủ chặt để dùng làm kết quả chính.</w:t>
      </w:r>
    </w:p>
    <w:p>
      <w:pPr>
        <w:pStyle w:val="Heading1"/>
      </w:pPr>
      <w:r>
        <w:t>6. Giai Đoạn 2: Cố Định Seed</w:t>
      </w:r>
    </w:p>
    <w:p>
      <w:r>
        <w:t>Sau đó, seed được cố định bằng giá trị 42 để giảm sai khác giữa các lần chạy. Baseline accuracy trở nên thống nhất hơn, giúp so sánh epsilon công bằng hơn.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4292F"/>
            <w:vAlign w:val="center"/>
          </w:tcPr>
          <w:p>
            <w:pPr>
              <w:jc w:val="center"/>
            </w:pPr>
            <w:r/>
            <w:r>
              <w:rPr>
                <w:b/>
                <w:color w:val="FFFFFF"/>
                <w:sz w:val="16"/>
              </w:rPr>
              <w:t>Epsilon</w:t>
            </w:r>
          </w:p>
        </w:tc>
        <w:tc>
          <w:tcPr>
            <w:tcW w:type="dxa" w:w="1170"/>
            <w:shd w:fill="24292F"/>
            <w:vAlign w:val="center"/>
          </w:tcPr>
          <w:p>
            <w:pPr>
              <w:jc w:val="center"/>
            </w:pPr>
            <w:r/>
            <w:r>
              <w:rPr>
                <w:b/>
                <w:color w:val="FFFFFF"/>
                <w:sz w:val="16"/>
              </w:rPr>
              <w:t>Seed</w:t>
            </w:r>
          </w:p>
        </w:tc>
        <w:tc>
          <w:tcPr>
            <w:tcW w:type="dxa" w:w="1170"/>
            <w:shd w:fill="24292F"/>
            <w:vAlign w:val="center"/>
          </w:tcPr>
          <w:p>
            <w:pPr>
              <w:jc w:val="center"/>
            </w:pPr>
            <w:r/>
            <w:r>
              <w:rPr>
                <w:b/>
                <w:color w:val="FFFFFF"/>
                <w:sz w:val="16"/>
              </w:rPr>
              <w:t>Baseline acc</w:t>
            </w:r>
          </w:p>
        </w:tc>
        <w:tc>
          <w:tcPr>
            <w:tcW w:type="dxa" w:w="1170"/>
            <w:shd w:fill="24292F"/>
            <w:vAlign w:val="center"/>
          </w:tcPr>
          <w:p>
            <w:pPr>
              <w:jc w:val="center"/>
            </w:pPr>
            <w:r/>
            <w:r>
              <w:rPr>
                <w:b/>
                <w:color w:val="FFFFFF"/>
                <w:sz w:val="16"/>
              </w:rPr>
              <w:t>Protected acc</w:t>
            </w:r>
          </w:p>
        </w:tc>
        <w:tc>
          <w:tcPr>
            <w:tcW w:type="dxa" w:w="1170"/>
            <w:shd w:fill="24292F"/>
            <w:vAlign w:val="center"/>
          </w:tcPr>
          <w:p>
            <w:pPr>
              <w:jc w:val="center"/>
            </w:pPr>
            <w:r/>
            <w:r>
              <w:rPr>
                <w:b/>
                <w:color w:val="FFFFFF"/>
                <w:sz w:val="16"/>
              </w:rPr>
              <w:t>Drop</w:t>
            </w:r>
          </w:p>
        </w:tc>
        <w:tc>
          <w:tcPr>
            <w:tcW w:type="dxa" w:w="1170"/>
            <w:shd w:fill="24292F"/>
            <w:vAlign w:val="center"/>
          </w:tcPr>
          <w:p>
            <w:pPr>
              <w:jc w:val="center"/>
            </w:pPr>
            <w:r/>
            <w:r>
              <w:rPr>
                <w:b/>
                <w:color w:val="FFFFFF"/>
                <w:sz w:val="16"/>
              </w:rPr>
              <w:t>ASR</w:t>
            </w:r>
          </w:p>
        </w:tc>
        <w:tc>
          <w:tcPr>
            <w:tcW w:type="dxa" w:w="1170"/>
            <w:shd w:fill="24292F"/>
            <w:vAlign w:val="center"/>
          </w:tcPr>
          <w:p>
            <w:pPr>
              <w:jc w:val="center"/>
            </w:pPr>
            <w:r/>
            <w:r>
              <w:rPr>
                <w:b/>
                <w:color w:val="FFFFFF"/>
                <w:sz w:val="16"/>
              </w:rPr>
              <w:t>PSNR</w:t>
            </w:r>
          </w:p>
        </w:tc>
        <w:tc>
          <w:tcPr>
            <w:tcW w:type="dxa" w:w="1170"/>
            <w:shd w:fill="24292F"/>
            <w:vAlign w:val="center"/>
          </w:tcPr>
          <w:p>
            <w:pPr>
              <w:jc w:val="center"/>
            </w:pPr>
            <w:r/>
            <w:r>
              <w:rPr>
                <w:b/>
                <w:color w:val="FFFFFF"/>
                <w:sz w:val="16"/>
              </w:rPr>
              <w:t>SSIM</w:t>
            </w:r>
          </w:p>
        </w:tc>
      </w:tr>
      <w:tr>
        <w:tc>
          <w:tcPr>
            <w:tcW w:type="dxa" w:w="1170"/>
            <w:vAlign w:val="center"/>
          </w:tcPr>
          <w:p>
            <w:pPr>
              <w:jc w:val="center"/>
            </w:pPr>
            <w:r/>
            <w:r>
              <w:rPr>
                <w:b w:val="0"/>
                <w:sz w:val="16"/>
              </w:rPr>
              <w:t>0.01</w:t>
            </w:r>
          </w:p>
        </w:tc>
        <w:tc>
          <w:tcPr>
            <w:tcW w:type="dxa" w:w="1170"/>
            <w:vAlign w:val="center"/>
          </w:tcPr>
          <w:p>
            <w:pPr>
              <w:jc w:val="center"/>
            </w:pPr>
            <w:r/>
            <w:r>
              <w:rPr>
                <w:b w:val="0"/>
                <w:sz w:val="16"/>
              </w:rPr>
              <w:t>42</w:t>
            </w:r>
          </w:p>
        </w:tc>
        <w:tc>
          <w:tcPr>
            <w:tcW w:type="dxa" w:w="1170"/>
            <w:vAlign w:val="center"/>
          </w:tcPr>
          <w:p>
            <w:pPr>
              <w:jc w:val="center"/>
            </w:pPr>
            <w:r/>
            <w:r>
              <w:rPr>
                <w:b w:val="0"/>
                <w:sz w:val="16"/>
              </w:rPr>
              <w:t>0.418</w:t>
            </w:r>
          </w:p>
        </w:tc>
        <w:tc>
          <w:tcPr>
            <w:tcW w:type="dxa" w:w="1170"/>
            <w:vAlign w:val="center"/>
          </w:tcPr>
          <w:p>
            <w:pPr>
              <w:jc w:val="center"/>
            </w:pPr>
            <w:r/>
            <w:r>
              <w:rPr>
                <w:b w:val="0"/>
                <w:sz w:val="16"/>
              </w:rPr>
              <w:t>0.1</w:t>
            </w:r>
          </w:p>
        </w:tc>
        <w:tc>
          <w:tcPr>
            <w:tcW w:type="dxa" w:w="1170"/>
            <w:vAlign w:val="center"/>
          </w:tcPr>
          <w:p>
            <w:pPr>
              <w:jc w:val="center"/>
            </w:pPr>
            <w:r/>
            <w:r>
              <w:rPr>
                <w:b w:val="0"/>
                <w:sz w:val="16"/>
              </w:rPr>
              <w:t>0.318</w:t>
            </w:r>
          </w:p>
        </w:tc>
        <w:tc>
          <w:tcPr>
            <w:tcW w:type="dxa" w:w="1170"/>
            <w:vAlign w:val="center"/>
          </w:tcPr>
          <w:p>
            <w:pPr>
              <w:jc w:val="center"/>
            </w:pPr>
            <w:r/>
            <w:r>
              <w:rPr>
                <w:b w:val="0"/>
                <w:sz w:val="16"/>
              </w:rPr>
              <w:t>0.9</w:t>
            </w:r>
          </w:p>
        </w:tc>
        <w:tc>
          <w:tcPr>
            <w:tcW w:type="dxa" w:w="1170"/>
            <w:vAlign w:val="center"/>
          </w:tcPr>
          <w:p>
            <w:pPr>
              <w:jc w:val="center"/>
            </w:pPr>
            <w:r/>
            <w:r>
              <w:rPr>
                <w:b w:val="0"/>
                <w:sz w:val="16"/>
              </w:rPr>
              <w:t>40.7485</w:t>
            </w:r>
          </w:p>
        </w:tc>
        <w:tc>
          <w:tcPr>
            <w:tcW w:type="dxa" w:w="1170"/>
            <w:vAlign w:val="center"/>
          </w:tcPr>
          <w:p>
            <w:pPr>
              <w:jc w:val="center"/>
            </w:pPr>
            <w:r/>
            <w:r>
              <w:rPr>
                <w:b w:val="0"/>
                <w:sz w:val="16"/>
              </w:rPr>
              <w:t>0.9918</w:t>
            </w:r>
          </w:p>
        </w:tc>
      </w:tr>
      <w:tr>
        <w:tc>
          <w:tcPr>
            <w:tcW w:type="dxa" w:w="1170"/>
            <w:shd w:fill="F2F4F7"/>
            <w:vAlign w:val="center"/>
          </w:tcPr>
          <w:p>
            <w:pPr>
              <w:jc w:val="center"/>
            </w:pPr>
            <w:r/>
            <w:r>
              <w:rPr>
                <w:b w:val="0"/>
                <w:sz w:val="16"/>
              </w:rPr>
              <w:t>0.03</w:t>
            </w:r>
          </w:p>
        </w:tc>
        <w:tc>
          <w:tcPr>
            <w:tcW w:type="dxa" w:w="1170"/>
            <w:shd w:fill="F2F4F7"/>
            <w:vAlign w:val="center"/>
          </w:tcPr>
          <w:p>
            <w:pPr>
              <w:jc w:val="center"/>
            </w:pPr>
            <w:r/>
            <w:r>
              <w:rPr>
                <w:b w:val="0"/>
                <w:sz w:val="16"/>
              </w:rPr>
              <w:t>42</w:t>
            </w:r>
          </w:p>
        </w:tc>
        <w:tc>
          <w:tcPr>
            <w:tcW w:type="dxa" w:w="1170"/>
            <w:shd w:fill="F2F4F7"/>
            <w:vAlign w:val="center"/>
          </w:tcPr>
          <w:p>
            <w:pPr>
              <w:jc w:val="center"/>
            </w:pPr>
            <w:r/>
            <w:r>
              <w:rPr>
                <w:b w:val="0"/>
                <w:sz w:val="16"/>
              </w:rPr>
              <w:t>0.418</w:t>
            </w:r>
          </w:p>
        </w:tc>
        <w:tc>
          <w:tcPr>
            <w:tcW w:type="dxa" w:w="1170"/>
            <w:shd w:fill="F2F4F7"/>
            <w:vAlign w:val="center"/>
          </w:tcPr>
          <w:p>
            <w:pPr>
              <w:jc w:val="center"/>
            </w:pPr>
            <w:r/>
            <w:r>
              <w:rPr>
                <w:b w:val="0"/>
                <w:sz w:val="16"/>
              </w:rPr>
              <w:t>0.085</w:t>
            </w:r>
          </w:p>
        </w:tc>
        <w:tc>
          <w:tcPr>
            <w:tcW w:type="dxa" w:w="1170"/>
            <w:shd w:fill="F2F4F7"/>
            <w:vAlign w:val="center"/>
          </w:tcPr>
          <w:p>
            <w:pPr>
              <w:jc w:val="center"/>
            </w:pPr>
            <w:r/>
            <w:r>
              <w:rPr>
                <w:b w:val="0"/>
                <w:sz w:val="16"/>
              </w:rPr>
              <w:t>0.333</w:t>
            </w:r>
          </w:p>
        </w:tc>
        <w:tc>
          <w:tcPr>
            <w:tcW w:type="dxa" w:w="1170"/>
            <w:shd w:fill="F2F4F7"/>
            <w:vAlign w:val="center"/>
          </w:tcPr>
          <w:p>
            <w:pPr>
              <w:jc w:val="center"/>
            </w:pPr>
            <w:r/>
            <w:r>
              <w:rPr>
                <w:b w:val="0"/>
                <w:sz w:val="16"/>
              </w:rPr>
              <w:t>0.915</w:t>
            </w:r>
          </w:p>
        </w:tc>
        <w:tc>
          <w:tcPr>
            <w:tcW w:type="dxa" w:w="1170"/>
            <w:shd w:fill="F2F4F7"/>
            <w:vAlign w:val="center"/>
          </w:tcPr>
          <w:p>
            <w:pPr>
              <w:jc w:val="center"/>
            </w:pPr>
            <w:r/>
            <w:r>
              <w:rPr>
                <w:b w:val="0"/>
                <w:sz w:val="16"/>
              </w:rPr>
              <w:t>31.2963</w:t>
            </w:r>
          </w:p>
        </w:tc>
        <w:tc>
          <w:tcPr>
            <w:tcW w:type="dxa" w:w="1170"/>
            <w:shd w:fill="F2F4F7"/>
            <w:vAlign w:val="center"/>
          </w:tcPr>
          <w:p>
            <w:pPr>
              <w:jc w:val="center"/>
            </w:pPr>
            <w:r/>
            <w:r>
              <w:rPr>
                <w:b w:val="0"/>
                <w:sz w:val="16"/>
              </w:rPr>
              <w:t>0.9424</w:t>
            </w:r>
          </w:p>
        </w:tc>
      </w:tr>
      <w:tr>
        <w:tc>
          <w:tcPr>
            <w:tcW w:type="dxa" w:w="1170"/>
            <w:vAlign w:val="center"/>
          </w:tcPr>
          <w:p>
            <w:pPr>
              <w:jc w:val="center"/>
            </w:pPr>
            <w:r/>
            <w:r>
              <w:rPr>
                <w:b w:val="0"/>
                <w:sz w:val="16"/>
              </w:rPr>
              <w:t>0.05</w:t>
            </w:r>
          </w:p>
        </w:tc>
        <w:tc>
          <w:tcPr>
            <w:tcW w:type="dxa" w:w="1170"/>
            <w:vAlign w:val="center"/>
          </w:tcPr>
          <w:p>
            <w:pPr>
              <w:jc w:val="center"/>
            </w:pPr>
            <w:r/>
            <w:r>
              <w:rPr>
                <w:b w:val="0"/>
                <w:sz w:val="16"/>
              </w:rPr>
              <w:t>42</w:t>
            </w:r>
          </w:p>
        </w:tc>
        <w:tc>
          <w:tcPr>
            <w:tcW w:type="dxa" w:w="1170"/>
            <w:vAlign w:val="center"/>
          </w:tcPr>
          <w:p>
            <w:pPr>
              <w:jc w:val="center"/>
            </w:pPr>
            <w:r/>
            <w:r>
              <w:rPr>
                <w:b w:val="0"/>
                <w:sz w:val="16"/>
              </w:rPr>
              <w:t>0.418</w:t>
            </w:r>
          </w:p>
        </w:tc>
        <w:tc>
          <w:tcPr>
            <w:tcW w:type="dxa" w:w="1170"/>
            <w:vAlign w:val="center"/>
          </w:tcPr>
          <w:p>
            <w:pPr>
              <w:jc w:val="center"/>
            </w:pPr>
            <w:r/>
            <w:r>
              <w:rPr>
                <w:b w:val="0"/>
                <w:sz w:val="16"/>
              </w:rPr>
              <w:t>0.105</w:t>
            </w:r>
          </w:p>
        </w:tc>
        <w:tc>
          <w:tcPr>
            <w:tcW w:type="dxa" w:w="1170"/>
            <w:vAlign w:val="center"/>
          </w:tcPr>
          <w:p>
            <w:pPr>
              <w:jc w:val="center"/>
            </w:pPr>
            <w:r/>
            <w:r>
              <w:rPr>
                <w:b w:val="0"/>
                <w:sz w:val="16"/>
              </w:rPr>
              <w:t>0.313</w:t>
            </w:r>
          </w:p>
        </w:tc>
        <w:tc>
          <w:tcPr>
            <w:tcW w:type="dxa" w:w="1170"/>
            <w:vAlign w:val="center"/>
          </w:tcPr>
          <w:p>
            <w:pPr>
              <w:jc w:val="center"/>
            </w:pPr>
            <w:r/>
            <w:r>
              <w:rPr>
                <w:b w:val="0"/>
                <w:sz w:val="16"/>
              </w:rPr>
              <w:t>0.895</w:t>
            </w:r>
          </w:p>
        </w:tc>
        <w:tc>
          <w:tcPr>
            <w:tcW w:type="dxa" w:w="1170"/>
            <w:vAlign w:val="center"/>
          </w:tcPr>
          <w:p>
            <w:pPr>
              <w:jc w:val="center"/>
            </w:pPr>
            <w:r/>
            <w:r>
              <w:rPr>
                <w:b w:val="0"/>
                <w:sz w:val="16"/>
              </w:rPr>
              <w:t>27.064</w:t>
            </w:r>
          </w:p>
        </w:tc>
        <w:tc>
          <w:tcPr>
            <w:tcW w:type="dxa" w:w="1170"/>
            <w:vAlign w:val="center"/>
          </w:tcPr>
          <w:p>
            <w:pPr>
              <w:jc w:val="center"/>
            </w:pPr>
            <w:r/>
            <w:r>
              <w:rPr>
                <w:b w:val="0"/>
                <w:sz w:val="16"/>
              </w:rPr>
              <w:t>0.8818</w:t>
            </w:r>
          </w:p>
        </w:tc>
      </w:tr>
    </w:tbl>
    <w:p/>
    <w:p>
      <w:pPr>
        <w:jc w:val="center"/>
      </w:pPr>
      <w:r>
        <w:drawing>
          <wp:inline xmlns:a="http://schemas.openxmlformats.org/drawingml/2006/main" xmlns:pic="http://schemas.openxmlformats.org/drawingml/2006/picture">
            <wp:extent cx="5943600" cy="1658916"/>
            <wp:docPr id="2" name="Picture 2"/>
            <wp:cNvGraphicFramePr>
              <a:graphicFrameLocks noChangeAspect="1"/>
            </wp:cNvGraphicFramePr>
            <a:graphic>
              <a:graphicData uri="http://schemas.openxmlformats.org/drawingml/2006/picture">
                <pic:pic>
                  <pic:nvPicPr>
                    <pic:cNvPr id="0" name="benchmark_pre_validation_seed42.png"/>
                    <pic:cNvPicPr/>
                  </pic:nvPicPr>
                  <pic:blipFill>
                    <a:blip r:embed="rId10"/>
                    <a:stretch>
                      <a:fillRect/>
                    </a:stretch>
                  </pic:blipFill>
                  <pic:spPr>
                    <a:xfrm>
                      <a:off x="0" y="0"/>
                      <a:ext cx="5943600" cy="1658916"/>
                    </a:xfrm>
                    <a:prstGeom prst="rect"/>
                  </pic:spPr>
                </pic:pic>
              </a:graphicData>
            </a:graphic>
          </wp:inline>
        </w:drawing>
      </w:r>
    </w:p>
    <w:p>
      <w:pPr>
        <w:spacing w:after="160"/>
        <w:jc w:val="center"/>
      </w:pPr>
      <w:r>
        <w:rPr>
          <w:i/>
          <w:color w:val="59636E"/>
          <w:sz w:val="18"/>
        </w:rPr>
        <w:t>Bảng kết quả subset 5000 sau khi cố định seed.</w:t>
      </w:r>
    </w:p>
    <w:p>
      <w:r>
        <w:t>Nhận xét: epsilon 0.03 cho protected accuracy thấp nhất trong nhóm này. Tuy nhiên baseline chỉ đạt 0.4180, vẫn còn thấp nên chưa nên dùng làm benchmark cuối.</w:t>
      </w:r>
    </w:p>
    <w:p>
      <w:pPr>
        <w:pStyle w:val="Heading1"/>
      </w:pPr>
      <w:r>
        <w:t>7. Giai Đoạn 3: Thêm Validation Để Chọn Epsilon</w:t>
      </w:r>
    </w:p>
    <w:p>
      <w:r>
        <w:t>Giai đoạn tiếp theo bổ sung validation split. Mục đích là không chọn epsilon trực tiếp theo test set. Cấu hình gồm 10000 ảnh train, 2000 ảnh validation và 10000 ảnh test.</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4292F"/>
            <w:vAlign w:val="center"/>
          </w:tcPr>
          <w:p>
            <w:pPr>
              <w:jc w:val="center"/>
            </w:pPr>
            <w:r/>
            <w:r>
              <w:rPr>
                <w:b/>
                <w:color w:val="FFFFFF"/>
                <w:sz w:val="16"/>
              </w:rPr>
              <w:t>Eps</w:t>
            </w:r>
          </w:p>
        </w:tc>
        <w:tc>
          <w:tcPr>
            <w:tcW w:type="dxa" w:w="936"/>
            <w:shd w:fill="24292F"/>
            <w:vAlign w:val="center"/>
          </w:tcPr>
          <w:p>
            <w:pPr>
              <w:jc w:val="center"/>
            </w:pPr>
            <w:r/>
            <w:r>
              <w:rPr>
                <w:b/>
                <w:color w:val="FFFFFF"/>
                <w:sz w:val="16"/>
              </w:rPr>
              <w:t>Train</w:t>
            </w:r>
          </w:p>
        </w:tc>
        <w:tc>
          <w:tcPr>
            <w:tcW w:type="dxa" w:w="936"/>
            <w:shd w:fill="24292F"/>
            <w:vAlign w:val="center"/>
          </w:tcPr>
          <w:p>
            <w:pPr>
              <w:jc w:val="center"/>
            </w:pPr>
            <w:r/>
            <w:r>
              <w:rPr>
                <w:b/>
                <w:color w:val="FFFFFF"/>
                <w:sz w:val="16"/>
              </w:rPr>
              <w:t>Val</w:t>
            </w:r>
          </w:p>
        </w:tc>
        <w:tc>
          <w:tcPr>
            <w:tcW w:type="dxa" w:w="936"/>
            <w:shd w:fill="24292F"/>
            <w:vAlign w:val="center"/>
          </w:tcPr>
          <w:p>
            <w:pPr>
              <w:jc w:val="center"/>
            </w:pPr>
            <w:r/>
            <w:r>
              <w:rPr>
                <w:b/>
                <w:color w:val="FFFFFF"/>
                <w:sz w:val="16"/>
              </w:rPr>
              <w:t>Test</w:t>
            </w:r>
          </w:p>
        </w:tc>
        <w:tc>
          <w:tcPr>
            <w:tcW w:type="dxa" w:w="936"/>
            <w:shd w:fill="24292F"/>
            <w:vAlign w:val="center"/>
          </w:tcPr>
          <w:p>
            <w:pPr>
              <w:jc w:val="center"/>
            </w:pPr>
            <w:r/>
            <w:r>
              <w:rPr>
                <w:b/>
                <w:color w:val="FFFFFF"/>
                <w:sz w:val="16"/>
              </w:rPr>
              <w:t>Baseline val</w:t>
            </w:r>
          </w:p>
        </w:tc>
        <w:tc>
          <w:tcPr>
            <w:tcW w:type="dxa" w:w="936"/>
            <w:shd w:fill="24292F"/>
            <w:vAlign w:val="center"/>
          </w:tcPr>
          <w:p>
            <w:pPr>
              <w:jc w:val="center"/>
            </w:pPr>
            <w:r/>
            <w:r>
              <w:rPr>
                <w:b/>
                <w:color w:val="FFFFFF"/>
                <w:sz w:val="16"/>
              </w:rPr>
              <w:t>Protected val</w:t>
            </w:r>
          </w:p>
        </w:tc>
        <w:tc>
          <w:tcPr>
            <w:tcW w:type="dxa" w:w="936"/>
            <w:shd w:fill="24292F"/>
            <w:vAlign w:val="center"/>
          </w:tcPr>
          <w:p>
            <w:pPr>
              <w:jc w:val="center"/>
            </w:pPr>
            <w:r/>
            <w:r>
              <w:rPr>
                <w:b/>
                <w:color w:val="FFFFFF"/>
                <w:sz w:val="16"/>
              </w:rPr>
              <w:t>Val ASR</w:t>
            </w:r>
          </w:p>
        </w:tc>
        <w:tc>
          <w:tcPr>
            <w:tcW w:type="dxa" w:w="936"/>
            <w:shd w:fill="24292F"/>
            <w:vAlign w:val="center"/>
          </w:tcPr>
          <w:p>
            <w:pPr>
              <w:jc w:val="center"/>
            </w:pPr>
            <w:r/>
            <w:r>
              <w:rPr>
                <w:b/>
                <w:color w:val="FFFFFF"/>
                <w:sz w:val="16"/>
              </w:rPr>
              <w:t>PSNR</w:t>
            </w:r>
          </w:p>
        </w:tc>
        <w:tc>
          <w:tcPr>
            <w:tcW w:type="dxa" w:w="936"/>
            <w:shd w:fill="24292F"/>
            <w:vAlign w:val="center"/>
          </w:tcPr>
          <w:p>
            <w:pPr>
              <w:jc w:val="center"/>
            </w:pPr>
            <w:r/>
            <w:r>
              <w:rPr>
                <w:b/>
                <w:color w:val="FFFFFF"/>
                <w:sz w:val="16"/>
              </w:rPr>
              <w:t>SSIM</w:t>
            </w:r>
          </w:p>
        </w:tc>
        <w:tc>
          <w:tcPr>
            <w:tcW w:type="dxa" w:w="936"/>
            <w:shd w:fill="24292F"/>
            <w:vAlign w:val="center"/>
          </w:tcPr>
          <w:p>
            <w:pPr>
              <w:jc w:val="center"/>
            </w:pPr>
            <w:r/>
            <w:r>
              <w:rPr>
                <w:b/>
                <w:color w:val="FFFFFF"/>
                <w:sz w:val="16"/>
              </w:rPr>
              <w:t>Quality OK</w:t>
            </w:r>
          </w:p>
        </w:tc>
      </w:tr>
      <w:tr>
        <w:tc>
          <w:tcPr>
            <w:tcW w:type="dxa" w:w="936"/>
            <w:vAlign w:val="center"/>
          </w:tcPr>
          <w:p>
            <w:pPr>
              <w:jc w:val="center"/>
            </w:pPr>
            <w:r/>
            <w:r>
              <w:rPr>
                <w:b w:val="0"/>
                <w:sz w:val="16"/>
              </w:rPr>
              <w:t>0.01</w:t>
            </w:r>
          </w:p>
        </w:tc>
        <w:tc>
          <w:tcPr>
            <w:tcW w:type="dxa" w:w="936"/>
            <w:vAlign w:val="center"/>
          </w:tcPr>
          <w:p>
            <w:pPr>
              <w:jc w:val="center"/>
            </w:pPr>
            <w:r/>
            <w:r>
              <w:rPr>
                <w:b w:val="0"/>
                <w:sz w:val="16"/>
              </w:rPr>
              <w:t>10000</w:t>
            </w:r>
          </w:p>
        </w:tc>
        <w:tc>
          <w:tcPr>
            <w:tcW w:type="dxa" w:w="936"/>
            <w:vAlign w:val="center"/>
          </w:tcPr>
          <w:p>
            <w:pPr>
              <w:jc w:val="center"/>
            </w:pPr>
            <w:r/>
            <w:r>
              <w:rPr>
                <w:b w:val="0"/>
                <w:sz w:val="16"/>
              </w:rPr>
              <w:t>2000</w:t>
            </w:r>
          </w:p>
        </w:tc>
        <w:tc>
          <w:tcPr>
            <w:tcW w:type="dxa" w:w="936"/>
            <w:vAlign w:val="center"/>
          </w:tcPr>
          <w:p>
            <w:pPr>
              <w:jc w:val="center"/>
            </w:pPr>
            <w:r/>
            <w:r>
              <w:rPr>
                <w:b w:val="0"/>
                <w:sz w:val="16"/>
              </w:rPr>
              <w:t>10000</w:t>
            </w:r>
          </w:p>
        </w:tc>
        <w:tc>
          <w:tcPr>
            <w:tcW w:type="dxa" w:w="936"/>
            <w:vAlign w:val="center"/>
          </w:tcPr>
          <w:p>
            <w:pPr>
              <w:jc w:val="center"/>
            </w:pPr>
            <w:r/>
            <w:r>
              <w:rPr>
                <w:b w:val="0"/>
                <w:sz w:val="16"/>
              </w:rPr>
              <w:t>0.651</w:t>
            </w:r>
          </w:p>
        </w:tc>
        <w:tc>
          <w:tcPr>
            <w:tcW w:type="dxa" w:w="936"/>
            <w:vAlign w:val="center"/>
          </w:tcPr>
          <w:p>
            <w:pPr>
              <w:jc w:val="center"/>
            </w:pPr>
            <w:r/>
            <w:r>
              <w:rPr>
                <w:b w:val="0"/>
                <w:sz w:val="16"/>
              </w:rPr>
              <w:t>0.1375</w:t>
            </w:r>
          </w:p>
        </w:tc>
        <w:tc>
          <w:tcPr>
            <w:tcW w:type="dxa" w:w="936"/>
            <w:vAlign w:val="center"/>
          </w:tcPr>
          <w:p>
            <w:pPr>
              <w:jc w:val="center"/>
            </w:pPr>
            <w:r/>
            <w:r>
              <w:rPr>
                <w:b w:val="0"/>
                <w:sz w:val="16"/>
              </w:rPr>
              <w:t>0.8625</w:t>
            </w:r>
          </w:p>
        </w:tc>
        <w:tc>
          <w:tcPr>
            <w:tcW w:type="dxa" w:w="936"/>
            <w:vAlign w:val="center"/>
          </w:tcPr>
          <w:p>
            <w:pPr>
              <w:jc w:val="center"/>
            </w:pPr>
            <w:r/>
            <w:r>
              <w:rPr>
                <w:b w:val="0"/>
                <w:sz w:val="16"/>
              </w:rPr>
              <w:t>40.5664</w:t>
            </w:r>
          </w:p>
        </w:tc>
        <w:tc>
          <w:tcPr>
            <w:tcW w:type="dxa" w:w="936"/>
            <w:vAlign w:val="center"/>
          </w:tcPr>
          <w:p>
            <w:pPr>
              <w:jc w:val="center"/>
            </w:pPr>
            <w:r/>
            <w:r>
              <w:rPr>
                <w:b w:val="0"/>
                <w:sz w:val="16"/>
              </w:rPr>
              <w:t>0.9922</w:t>
            </w:r>
          </w:p>
        </w:tc>
        <w:tc>
          <w:tcPr>
            <w:tcW w:type="dxa" w:w="936"/>
            <w:vAlign w:val="center"/>
          </w:tcPr>
          <w:p>
            <w:pPr>
              <w:jc w:val="center"/>
            </w:pPr>
            <w:r/>
            <w:r>
              <w:rPr>
                <w:b w:val="0"/>
                <w:sz w:val="16"/>
              </w:rPr>
              <w:t>True</w:t>
            </w:r>
          </w:p>
        </w:tc>
      </w:tr>
      <w:tr>
        <w:tc>
          <w:tcPr>
            <w:tcW w:type="dxa" w:w="936"/>
            <w:shd w:fill="F2F4F7"/>
            <w:vAlign w:val="center"/>
          </w:tcPr>
          <w:p>
            <w:pPr>
              <w:jc w:val="center"/>
            </w:pPr>
            <w:r/>
            <w:r>
              <w:rPr>
                <w:b w:val="0"/>
                <w:sz w:val="16"/>
              </w:rPr>
              <w:t>0.03</w:t>
            </w:r>
          </w:p>
        </w:tc>
        <w:tc>
          <w:tcPr>
            <w:tcW w:type="dxa" w:w="936"/>
            <w:shd w:fill="F2F4F7"/>
            <w:vAlign w:val="center"/>
          </w:tcPr>
          <w:p>
            <w:pPr>
              <w:jc w:val="center"/>
            </w:pPr>
            <w:r/>
            <w:r>
              <w:rPr>
                <w:b w:val="0"/>
                <w:sz w:val="16"/>
              </w:rPr>
              <w:t>10000</w:t>
            </w:r>
          </w:p>
        </w:tc>
        <w:tc>
          <w:tcPr>
            <w:tcW w:type="dxa" w:w="936"/>
            <w:shd w:fill="F2F4F7"/>
            <w:vAlign w:val="center"/>
          </w:tcPr>
          <w:p>
            <w:pPr>
              <w:jc w:val="center"/>
            </w:pPr>
            <w:r/>
            <w:r>
              <w:rPr>
                <w:b w:val="0"/>
                <w:sz w:val="16"/>
              </w:rPr>
              <w:t>2000</w:t>
            </w:r>
          </w:p>
        </w:tc>
        <w:tc>
          <w:tcPr>
            <w:tcW w:type="dxa" w:w="936"/>
            <w:shd w:fill="F2F4F7"/>
            <w:vAlign w:val="center"/>
          </w:tcPr>
          <w:p>
            <w:pPr>
              <w:jc w:val="center"/>
            </w:pPr>
            <w:r/>
            <w:r>
              <w:rPr>
                <w:b w:val="0"/>
                <w:sz w:val="16"/>
              </w:rPr>
              <w:t>10000</w:t>
            </w:r>
          </w:p>
        </w:tc>
        <w:tc>
          <w:tcPr>
            <w:tcW w:type="dxa" w:w="936"/>
            <w:shd w:fill="F2F4F7"/>
            <w:vAlign w:val="center"/>
          </w:tcPr>
          <w:p>
            <w:pPr>
              <w:jc w:val="center"/>
            </w:pPr>
            <w:r/>
            <w:r>
              <w:rPr>
                <w:b w:val="0"/>
                <w:sz w:val="16"/>
              </w:rPr>
              <w:t>0.651</w:t>
            </w:r>
          </w:p>
        </w:tc>
        <w:tc>
          <w:tcPr>
            <w:tcW w:type="dxa" w:w="936"/>
            <w:shd w:fill="F2F4F7"/>
            <w:vAlign w:val="center"/>
          </w:tcPr>
          <w:p>
            <w:pPr>
              <w:jc w:val="center"/>
            </w:pPr>
            <w:r/>
            <w:r>
              <w:rPr>
                <w:b w:val="0"/>
                <w:sz w:val="16"/>
              </w:rPr>
              <w:t>0.1055</w:t>
            </w:r>
          </w:p>
        </w:tc>
        <w:tc>
          <w:tcPr>
            <w:tcW w:type="dxa" w:w="936"/>
            <w:shd w:fill="F2F4F7"/>
            <w:vAlign w:val="center"/>
          </w:tcPr>
          <w:p>
            <w:pPr>
              <w:jc w:val="center"/>
            </w:pPr>
            <w:r/>
            <w:r>
              <w:rPr>
                <w:b w:val="0"/>
                <w:sz w:val="16"/>
              </w:rPr>
              <w:t>0.8945</w:t>
            </w:r>
          </w:p>
        </w:tc>
        <w:tc>
          <w:tcPr>
            <w:tcW w:type="dxa" w:w="936"/>
            <w:shd w:fill="F2F4F7"/>
            <w:vAlign w:val="center"/>
          </w:tcPr>
          <w:p>
            <w:pPr>
              <w:jc w:val="center"/>
            </w:pPr>
            <w:r/>
            <w:r>
              <w:rPr>
                <w:b w:val="0"/>
                <w:sz w:val="16"/>
              </w:rPr>
              <w:t>31.1111</w:t>
            </w:r>
          </w:p>
        </w:tc>
        <w:tc>
          <w:tcPr>
            <w:tcW w:type="dxa" w:w="936"/>
            <w:shd w:fill="F2F4F7"/>
            <w:vAlign w:val="center"/>
          </w:tcPr>
          <w:p>
            <w:pPr>
              <w:jc w:val="center"/>
            </w:pPr>
            <w:r/>
            <w:r>
              <w:rPr>
                <w:b w:val="0"/>
                <w:sz w:val="16"/>
              </w:rPr>
              <w:t>0.9348</w:t>
            </w:r>
          </w:p>
        </w:tc>
        <w:tc>
          <w:tcPr>
            <w:tcW w:type="dxa" w:w="936"/>
            <w:shd w:fill="F2F4F7"/>
            <w:vAlign w:val="center"/>
          </w:tcPr>
          <w:p>
            <w:pPr>
              <w:jc w:val="center"/>
            </w:pPr>
            <w:r/>
            <w:r>
              <w:rPr>
                <w:b w:val="0"/>
                <w:sz w:val="16"/>
              </w:rPr>
              <w:t>True</w:t>
            </w:r>
          </w:p>
        </w:tc>
      </w:tr>
      <w:tr>
        <w:tc>
          <w:tcPr>
            <w:tcW w:type="dxa" w:w="936"/>
            <w:vAlign w:val="center"/>
          </w:tcPr>
          <w:p>
            <w:pPr>
              <w:jc w:val="center"/>
            </w:pPr>
            <w:r/>
            <w:r>
              <w:rPr>
                <w:b w:val="0"/>
                <w:sz w:val="16"/>
              </w:rPr>
              <w:t>0.05</w:t>
            </w:r>
          </w:p>
        </w:tc>
        <w:tc>
          <w:tcPr>
            <w:tcW w:type="dxa" w:w="936"/>
            <w:vAlign w:val="center"/>
          </w:tcPr>
          <w:p>
            <w:pPr>
              <w:jc w:val="center"/>
            </w:pPr>
            <w:r/>
            <w:r>
              <w:rPr>
                <w:b w:val="0"/>
                <w:sz w:val="16"/>
              </w:rPr>
              <w:t>10000</w:t>
            </w:r>
          </w:p>
        </w:tc>
        <w:tc>
          <w:tcPr>
            <w:tcW w:type="dxa" w:w="936"/>
            <w:vAlign w:val="center"/>
          </w:tcPr>
          <w:p>
            <w:pPr>
              <w:jc w:val="center"/>
            </w:pPr>
            <w:r/>
            <w:r>
              <w:rPr>
                <w:b w:val="0"/>
                <w:sz w:val="16"/>
              </w:rPr>
              <w:t>2000</w:t>
            </w:r>
          </w:p>
        </w:tc>
        <w:tc>
          <w:tcPr>
            <w:tcW w:type="dxa" w:w="936"/>
            <w:vAlign w:val="center"/>
          </w:tcPr>
          <w:p>
            <w:pPr>
              <w:jc w:val="center"/>
            </w:pPr>
            <w:r/>
            <w:r>
              <w:rPr>
                <w:b w:val="0"/>
                <w:sz w:val="16"/>
              </w:rPr>
              <w:t>10000</w:t>
            </w:r>
          </w:p>
        </w:tc>
        <w:tc>
          <w:tcPr>
            <w:tcW w:type="dxa" w:w="936"/>
            <w:vAlign w:val="center"/>
          </w:tcPr>
          <w:p>
            <w:pPr>
              <w:jc w:val="center"/>
            </w:pPr>
            <w:r/>
            <w:r>
              <w:rPr>
                <w:b w:val="0"/>
                <w:sz w:val="16"/>
              </w:rPr>
              <w:t>0.651</w:t>
            </w:r>
          </w:p>
        </w:tc>
        <w:tc>
          <w:tcPr>
            <w:tcW w:type="dxa" w:w="936"/>
            <w:vAlign w:val="center"/>
          </w:tcPr>
          <w:p>
            <w:pPr>
              <w:jc w:val="center"/>
            </w:pPr>
            <w:r/>
            <w:r>
              <w:rPr>
                <w:b w:val="0"/>
                <w:sz w:val="16"/>
              </w:rPr>
              <w:t>0.103</w:t>
            </w:r>
          </w:p>
        </w:tc>
        <w:tc>
          <w:tcPr>
            <w:tcW w:type="dxa" w:w="936"/>
            <w:vAlign w:val="center"/>
          </w:tcPr>
          <w:p>
            <w:pPr>
              <w:jc w:val="center"/>
            </w:pPr>
            <w:r/>
            <w:r>
              <w:rPr>
                <w:b w:val="0"/>
                <w:sz w:val="16"/>
              </w:rPr>
              <w:t>0.897</w:t>
            </w:r>
          </w:p>
        </w:tc>
        <w:tc>
          <w:tcPr>
            <w:tcW w:type="dxa" w:w="936"/>
            <w:vAlign w:val="center"/>
          </w:tcPr>
          <w:p>
            <w:pPr>
              <w:jc w:val="center"/>
            </w:pPr>
            <w:r/>
            <w:r>
              <w:rPr>
                <w:b w:val="0"/>
                <w:sz w:val="16"/>
              </w:rPr>
              <w:t>26.6897</w:t>
            </w:r>
          </w:p>
        </w:tc>
        <w:tc>
          <w:tcPr>
            <w:tcW w:type="dxa" w:w="936"/>
            <w:vAlign w:val="center"/>
          </w:tcPr>
          <w:p>
            <w:pPr>
              <w:jc w:val="center"/>
            </w:pPr>
            <w:r/>
            <w:r>
              <w:rPr>
                <w:b w:val="0"/>
                <w:sz w:val="16"/>
              </w:rPr>
              <w:t>0.8619</w:t>
            </w:r>
          </w:p>
        </w:tc>
        <w:tc>
          <w:tcPr>
            <w:tcW w:type="dxa" w:w="936"/>
            <w:vAlign w:val="center"/>
          </w:tcPr>
          <w:p>
            <w:pPr>
              <w:jc w:val="center"/>
            </w:pPr>
            <w:r/>
            <w:r>
              <w:rPr>
                <w:b w:val="0"/>
                <w:sz w:val="16"/>
              </w:rPr>
              <w:t>False</w:t>
            </w:r>
          </w:p>
        </w:tc>
      </w:tr>
    </w:tbl>
    <w:p/>
    <w:p>
      <w:pPr>
        <w:jc w:val="center"/>
      </w:pPr>
      <w:r>
        <w:drawing>
          <wp:inline xmlns:a="http://schemas.openxmlformats.org/drawingml/2006/main" xmlns:pic="http://schemas.openxmlformats.org/drawingml/2006/picture">
            <wp:extent cx="5943600" cy="1427866"/>
            <wp:docPr id="3" name="Picture 3"/>
            <wp:cNvGraphicFramePr>
              <a:graphicFrameLocks noChangeAspect="1"/>
            </wp:cNvGraphicFramePr>
            <a:graphic>
              <a:graphicData uri="http://schemas.openxmlformats.org/drawingml/2006/picture">
                <pic:pic>
                  <pic:nvPicPr>
                    <pic:cNvPr id="0" name="benchmark_validation_epsilon_ablation.png"/>
                    <pic:cNvPicPr/>
                  </pic:nvPicPr>
                  <pic:blipFill>
                    <a:blip r:embed="rId11"/>
                    <a:stretch>
                      <a:fillRect/>
                    </a:stretch>
                  </pic:blipFill>
                  <pic:spPr>
                    <a:xfrm>
                      <a:off x="0" y="0"/>
                      <a:ext cx="5943600" cy="1427866"/>
                    </a:xfrm>
                    <a:prstGeom prst="rect"/>
                  </pic:spPr>
                </pic:pic>
              </a:graphicData>
            </a:graphic>
          </wp:inline>
        </w:drawing>
      </w:r>
    </w:p>
    <w:p>
      <w:pPr>
        <w:spacing w:after="160"/>
        <w:jc w:val="center"/>
      </w:pPr>
      <w:r>
        <w:rPr>
          <w:i/>
          <w:color w:val="59636E"/>
          <w:sz w:val="18"/>
        </w:rPr>
        <w:t>Validation ablation để chọn epsilon.</w:t>
      </w:r>
    </w:p>
    <w:p>
      <w:pPr>
        <w:jc w:val="center"/>
      </w:pPr>
      <w:r>
        <w:drawing>
          <wp:inline xmlns:a="http://schemas.openxmlformats.org/drawingml/2006/main" xmlns:pic="http://schemas.openxmlformats.org/drawingml/2006/picture">
            <wp:extent cx="5943600" cy="3226526"/>
            <wp:docPr id="4" name="Picture 4"/>
            <wp:cNvGraphicFramePr>
              <a:graphicFrameLocks noChangeAspect="1"/>
            </wp:cNvGraphicFramePr>
            <a:graphic>
              <a:graphicData uri="http://schemas.openxmlformats.org/drawingml/2006/picture">
                <pic:pic>
                  <pic:nvPicPr>
                    <pic:cNvPr id="0" name="unlearnable_validation_epsilon_line_chart.png"/>
                    <pic:cNvPicPr/>
                  </pic:nvPicPr>
                  <pic:blipFill>
                    <a:blip r:embed="rId12"/>
                    <a:stretch>
                      <a:fillRect/>
                    </a:stretch>
                  </pic:blipFill>
                  <pic:spPr>
                    <a:xfrm>
                      <a:off x="0" y="0"/>
                      <a:ext cx="5943600" cy="3226526"/>
                    </a:xfrm>
                    <a:prstGeom prst="rect"/>
                  </pic:spPr>
                </pic:pic>
              </a:graphicData>
            </a:graphic>
          </wp:inline>
        </w:drawing>
      </w:r>
    </w:p>
    <w:p>
      <w:pPr>
        <w:spacing w:after="160"/>
        <w:jc w:val="center"/>
      </w:pPr>
      <w:r>
        <w:rPr>
          <w:i/>
          <w:color w:val="59636E"/>
          <w:sz w:val="18"/>
        </w:rPr>
        <w:t>Biểu đồ trade-off giữa attack strength và image quality.</w:t>
      </w:r>
    </w:p>
    <w:p>
      <w:r>
        <w:t>Epsilon 0.05 làm protected validation accuracy thấp, nhưng SSIM giảm xuống 0.8619, nghĩa là chất lượng ảnh suy giảm rõ hơn. Epsilon 0.01 giữ ảnh rất tốt nhưng attack yếu hơn. Epsilon 0.03 là điểm cân bằng tốt giữa hiệu quả bảo vệ và chất lượng ảnh.</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4292F"/>
            <w:vAlign w:val="center"/>
          </w:tcPr>
          <w:p>
            <w:pPr>
              <w:jc w:val="center"/>
            </w:pPr>
            <w:r/>
            <w:r>
              <w:rPr>
                <w:b/>
                <w:color w:val="FFFFFF"/>
                <w:sz w:val="16"/>
              </w:rPr>
              <w:t>Selected epsilon</w:t>
            </w:r>
          </w:p>
        </w:tc>
        <w:tc>
          <w:tcPr>
            <w:tcW w:type="dxa" w:w="1337"/>
            <w:shd w:fill="24292F"/>
            <w:vAlign w:val="center"/>
          </w:tcPr>
          <w:p>
            <w:pPr>
              <w:jc w:val="center"/>
            </w:pPr>
            <w:r/>
            <w:r>
              <w:rPr>
                <w:b/>
                <w:color w:val="FFFFFF"/>
                <w:sz w:val="16"/>
              </w:rPr>
              <w:t>Baseline test acc</w:t>
            </w:r>
          </w:p>
        </w:tc>
        <w:tc>
          <w:tcPr>
            <w:tcW w:type="dxa" w:w="1337"/>
            <w:shd w:fill="24292F"/>
            <w:vAlign w:val="center"/>
          </w:tcPr>
          <w:p>
            <w:pPr>
              <w:jc w:val="center"/>
            </w:pPr>
            <w:r/>
            <w:r>
              <w:rPr>
                <w:b/>
                <w:color w:val="FFFFFF"/>
                <w:sz w:val="16"/>
              </w:rPr>
              <w:t>Protected test acc</w:t>
            </w:r>
          </w:p>
        </w:tc>
        <w:tc>
          <w:tcPr>
            <w:tcW w:type="dxa" w:w="1337"/>
            <w:shd w:fill="24292F"/>
            <w:vAlign w:val="center"/>
          </w:tcPr>
          <w:p>
            <w:pPr>
              <w:jc w:val="center"/>
            </w:pPr>
            <w:r/>
            <w:r>
              <w:rPr>
                <w:b/>
                <w:color w:val="FFFFFF"/>
                <w:sz w:val="16"/>
              </w:rPr>
              <w:t>Final drop</w:t>
            </w:r>
          </w:p>
        </w:tc>
        <w:tc>
          <w:tcPr>
            <w:tcW w:type="dxa" w:w="1337"/>
            <w:shd w:fill="24292F"/>
            <w:vAlign w:val="center"/>
          </w:tcPr>
          <w:p>
            <w:pPr>
              <w:jc w:val="center"/>
            </w:pPr>
            <w:r/>
            <w:r>
              <w:rPr>
                <w:b/>
                <w:color w:val="FFFFFF"/>
                <w:sz w:val="16"/>
              </w:rPr>
              <w:t>Final ASR</w:t>
            </w:r>
          </w:p>
        </w:tc>
        <w:tc>
          <w:tcPr>
            <w:tcW w:type="dxa" w:w="1337"/>
            <w:shd w:fill="24292F"/>
            <w:vAlign w:val="center"/>
          </w:tcPr>
          <w:p>
            <w:pPr>
              <w:jc w:val="center"/>
            </w:pPr>
            <w:r/>
            <w:r>
              <w:rPr>
                <w:b/>
                <w:color w:val="FFFFFF"/>
                <w:sz w:val="16"/>
              </w:rPr>
              <w:t>PSNR</w:t>
            </w:r>
          </w:p>
        </w:tc>
        <w:tc>
          <w:tcPr>
            <w:tcW w:type="dxa" w:w="1337"/>
            <w:shd w:fill="24292F"/>
            <w:vAlign w:val="center"/>
          </w:tcPr>
          <w:p>
            <w:pPr>
              <w:jc w:val="center"/>
            </w:pPr>
            <w:r/>
            <w:r>
              <w:rPr>
                <w:b/>
                <w:color w:val="FFFFFF"/>
                <w:sz w:val="16"/>
              </w:rPr>
              <w:t>SSIM</w:t>
            </w:r>
          </w:p>
        </w:tc>
      </w:tr>
      <w:tr>
        <w:tc>
          <w:tcPr>
            <w:tcW w:type="dxa" w:w="1337"/>
            <w:vAlign w:val="center"/>
          </w:tcPr>
          <w:p>
            <w:pPr>
              <w:jc w:val="center"/>
            </w:pPr>
            <w:r/>
            <w:r>
              <w:rPr>
                <w:b w:val="0"/>
                <w:sz w:val="16"/>
              </w:rPr>
              <w:t>0.03</w:t>
            </w:r>
          </w:p>
        </w:tc>
        <w:tc>
          <w:tcPr>
            <w:tcW w:type="dxa" w:w="1337"/>
            <w:vAlign w:val="center"/>
          </w:tcPr>
          <w:p>
            <w:pPr>
              <w:jc w:val="center"/>
            </w:pPr>
            <w:r/>
            <w:r>
              <w:rPr>
                <w:b w:val="0"/>
                <w:sz w:val="16"/>
              </w:rPr>
              <w:t>0.6457</w:t>
            </w:r>
          </w:p>
        </w:tc>
        <w:tc>
          <w:tcPr>
            <w:tcW w:type="dxa" w:w="1337"/>
            <w:vAlign w:val="center"/>
          </w:tcPr>
          <w:p>
            <w:pPr>
              <w:jc w:val="center"/>
            </w:pPr>
            <w:r/>
            <w:r>
              <w:rPr>
                <w:b w:val="0"/>
                <w:sz w:val="16"/>
              </w:rPr>
              <w:t>0.1012</w:t>
            </w:r>
          </w:p>
        </w:tc>
        <w:tc>
          <w:tcPr>
            <w:tcW w:type="dxa" w:w="1337"/>
            <w:vAlign w:val="center"/>
          </w:tcPr>
          <w:p>
            <w:pPr>
              <w:jc w:val="center"/>
            </w:pPr>
            <w:r/>
            <w:r>
              <w:rPr>
                <w:b w:val="0"/>
                <w:sz w:val="16"/>
              </w:rPr>
              <w:t>0.5445</w:t>
            </w:r>
          </w:p>
        </w:tc>
        <w:tc>
          <w:tcPr>
            <w:tcW w:type="dxa" w:w="1337"/>
            <w:vAlign w:val="center"/>
          </w:tcPr>
          <w:p>
            <w:pPr>
              <w:jc w:val="center"/>
            </w:pPr>
            <w:r/>
            <w:r>
              <w:rPr>
                <w:b w:val="0"/>
                <w:sz w:val="16"/>
              </w:rPr>
              <w:t>0.8988</w:t>
            </w:r>
          </w:p>
        </w:tc>
        <w:tc>
          <w:tcPr>
            <w:tcW w:type="dxa" w:w="1337"/>
            <w:vAlign w:val="center"/>
          </w:tcPr>
          <w:p>
            <w:pPr>
              <w:jc w:val="center"/>
            </w:pPr>
            <w:r/>
            <w:r>
              <w:rPr>
                <w:b w:val="0"/>
                <w:sz w:val="16"/>
              </w:rPr>
              <w:t>31.1111</w:t>
            </w:r>
          </w:p>
        </w:tc>
        <w:tc>
          <w:tcPr>
            <w:tcW w:type="dxa" w:w="1337"/>
            <w:vAlign w:val="center"/>
          </w:tcPr>
          <w:p>
            <w:pPr>
              <w:jc w:val="center"/>
            </w:pPr>
            <w:r/>
            <w:r>
              <w:rPr>
                <w:b w:val="0"/>
                <w:sz w:val="16"/>
              </w:rPr>
              <w:t>0.9348</w:t>
            </w:r>
          </w:p>
        </w:tc>
      </w:tr>
    </w:tbl>
    <w:p/>
    <w:p>
      <w:pPr>
        <w:jc w:val="center"/>
      </w:pPr>
      <w:r>
        <w:drawing>
          <wp:inline xmlns:a="http://schemas.openxmlformats.org/drawingml/2006/main" xmlns:pic="http://schemas.openxmlformats.org/drawingml/2006/picture">
            <wp:extent cx="5943600" cy="1287220"/>
            <wp:docPr id="5" name="Picture 5"/>
            <wp:cNvGraphicFramePr>
              <a:graphicFrameLocks noChangeAspect="1"/>
            </wp:cNvGraphicFramePr>
            <a:graphic>
              <a:graphicData uri="http://schemas.openxmlformats.org/drawingml/2006/picture">
                <pic:pic>
                  <pic:nvPicPr>
                    <pic:cNvPr id="0" name="benchmark_validation_final_test.png"/>
                    <pic:cNvPicPr/>
                  </pic:nvPicPr>
                  <pic:blipFill>
                    <a:blip r:embed="rId13"/>
                    <a:stretch>
                      <a:fillRect/>
                    </a:stretch>
                  </pic:blipFill>
                  <pic:spPr>
                    <a:xfrm>
                      <a:off x="0" y="0"/>
                      <a:ext cx="5943600" cy="1287220"/>
                    </a:xfrm>
                    <a:prstGeom prst="rect"/>
                  </pic:spPr>
                </pic:pic>
              </a:graphicData>
            </a:graphic>
          </wp:inline>
        </w:drawing>
      </w:r>
    </w:p>
    <w:p>
      <w:pPr>
        <w:spacing w:after="160"/>
        <w:jc w:val="center"/>
      </w:pPr>
      <w:r>
        <w:rPr>
          <w:i/>
          <w:color w:val="59636E"/>
          <w:sz w:val="18"/>
        </w:rPr>
        <w:t>Kết quả final test sau khi chọn epsilon bằng validation.</w:t>
      </w:r>
    </w:p>
    <w:p>
      <w:pPr>
        <w:pStyle w:val="Heading1"/>
      </w:pPr>
      <w:r>
        <w:t>8. Giai Đoạn 4: Full Final Benchmark</w:t>
      </w:r>
    </w:p>
    <w:p>
      <w:r>
        <w:t>Sau khi chọn được epsilon 0.03, thí nghiệm final được chạy trên split lớn hơn: 45000 ảnh train, 5000 ảnh validation và 10000 ảnh test. Đây là kết quả chính nên dùng trong báo cáo.</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4292F"/>
            <w:vAlign w:val="center"/>
          </w:tcPr>
          <w:p>
            <w:pPr>
              <w:jc w:val="center"/>
            </w:pPr>
            <w:r/>
            <w:r>
              <w:rPr>
                <w:b/>
                <w:color w:val="FFFFFF"/>
                <w:sz w:val="16"/>
              </w:rPr>
              <w:t>Eps</w:t>
            </w:r>
          </w:p>
        </w:tc>
        <w:tc>
          <w:tcPr>
            <w:tcW w:type="dxa" w:w="936"/>
            <w:shd w:fill="24292F"/>
            <w:vAlign w:val="center"/>
          </w:tcPr>
          <w:p>
            <w:pPr>
              <w:jc w:val="center"/>
            </w:pPr>
            <w:r/>
            <w:r>
              <w:rPr>
                <w:b/>
                <w:color w:val="FFFFFF"/>
                <w:sz w:val="16"/>
              </w:rPr>
              <w:t>Train</w:t>
            </w:r>
          </w:p>
        </w:tc>
        <w:tc>
          <w:tcPr>
            <w:tcW w:type="dxa" w:w="936"/>
            <w:shd w:fill="24292F"/>
            <w:vAlign w:val="center"/>
          </w:tcPr>
          <w:p>
            <w:pPr>
              <w:jc w:val="center"/>
            </w:pPr>
            <w:r/>
            <w:r>
              <w:rPr>
                <w:b/>
                <w:color w:val="FFFFFF"/>
                <w:sz w:val="16"/>
              </w:rPr>
              <w:t>Val</w:t>
            </w:r>
          </w:p>
        </w:tc>
        <w:tc>
          <w:tcPr>
            <w:tcW w:type="dxa" w:w="936"/>
            <w:shd w:fill="24292F"/>
            <w:vAlign w:val="center"/>
          </w:tcPr>
          <w:p>
            <w:pPr>
              <w:jc w:val="center"/>
            </w:pPr>
            <w:r/>
            <w:r>
              <w:rPr>
                <w:b/>
                <w:color w:val="FFFFFF"/>
                <w:sz w:val="16"/>
              </w:rPr>
              <w:t>Test</w:t>
            </w:r>
          </w:p>
        </w:tc>
        <w:tc>
          <w:tcPr>
            <w:tcW w:type="dxa" w:w="936"/>
            <w:shd w:fill="24292F"/>
            <w:vAlign w:val="center"/>
          </w:tcPr>
          <w:p>
            <w:pPr>
              <w:jc w:val="center"/>
            </w:pPr>
            <w:r/>
            <w:r>
              <w:rPr>
                <w:b/>
                <w:color w:val="FFFFFF"/>
                <w:sz w:val="16"/>
              </w:rPr>
              <w:t>Victim</w:t>
            </w:r>
          </w:p>
        </w:tc>
        <w:tc>
          <w:tcPr>
            <w:tcW w:type="dxa" w:w="936"/>
            <w:shd w:fill="24292F"/>
            <w:vAlign w:val="center"/>
          </w:tcPr>
          <w:p>
            <w:pPr>
              <w:jc w:val="center"/>
            </w:pPr>
            <w:r/>
            <w:r>
              <w:rPr>
                <w:b/>
                <w:color w:val="FFFFFF"/>
                <w:sz w:val="16"/>
              </w:rPr>
              <w:t>Baseline test</w:t>
            </w:r>
          </w:p>
        </w:tc>
        <w:tc>
          <w:tcPr>
            <w:tcW w:type="dxa" w:w="936"/>
            <w:shd w:fill="24292F"/>
            <w:vAlign w:val="center"/>
          </w:tcPr>
          <w:p>
            <w:pPr>
              <w:jc w:val="center"/>
            </w:pPr>
            <w:r/>
            <w:r>
              <w:rPr>
                <w:b/>
                <w:color w:val="FFFFFF"/>
                <w:sz w:val="16"/>
              </w:rPr>
              <w:t>Protected val</w:t>
            </w:r>
          </w:p>
        </w:tc>
        <w:tc>
          <w:tcPr>
            <w:tcW w:type="dxa" w:w="936"/>
            <w:shd w:fill="24292F"/>
            <w:vAlign w:val="center"/>
          </w:tcPr>
          <w:p>
            <w:pPr>
              <w:jc w:val="center"/>
            </w:pPr>
            <w:r/>
            <w:r>
              <w:rPr>
                <w:b/>
                <w:color w:val="FFFFFF"/>
                <w:sz w:val="16"/>
              </w:rPr>
              <w:t>Val ASR</w:t>
            </w:r>
          </w:p>
        </w:tc>
        <w:tc>
          <w:tcPr>
            <w:tcW w:type="dxa" w:w="936"/>
            <w:shd w:fill="24292F"/>
            <w:vAlign w:val="center"/>
          </w:tcPr>
          <w:p>
            <w:pPr>
              <w:jc w:val="center"/>
            </w:pPr>
            <w:r/>
            <w:r>
              <w:rPr>
                <w:b/>
                <w:color w:val="FFFFFF"/>
                <w:sz w:val="16"/>
              </w:rPr>
              <w:t>PSNR</w:t>
            </w:r>
          </w:p>
        </w:tc>
        <w:tc>
          <w:tcPr>
            <w:tcW w:type="dxa" w:w="936"/>
            <w:shd w:fill="24292F"/>
            <w:vAlign w:val="center"/>
          </w:tcPr>
          <w:p>
            <w:pPr>
              <w:jc w:val="center"/>
            </w:pPr>
            <w:r/>
            <w:r>
              <w:rPr>
                <w:b/>
                <w:color w:val="FFFFFF"/>
                <w:sz w:val="16"/>
              </w:rPr>
              <w:t>SSIM</w:t>
            </w:r>
          </w:p>
        </w:tc>
      </w:tr>
      <w:tr>
        <w:tc>
          <w:tcPr>
            <w:tcW w:type="dxa" w:w="936"/>
            <w:vAlign w:val="center"/>
          </w:tcPr>
          <w:p>
            <w:pPr>
              <w:jc w:val="center"/>
            </w:pPr>
            <w:r/>
            <w:r>
              <w:rPr>
                <w:b w:val="0"/>
                <w:sz w:val="16"/>
              </w:rPr>
              <w:t>0.03</w:t>
            </w:r>
          </w:p>
        </w:tc>
        <w:tc>
          <w:tcPr>
            <w:tcW w:type="dxa" w:w="936"/>
            <w:vAlign w:val="center"/>
          </w:tcPr>
          <w:p>
            <w:pPr>
              <w:jc w:val="center"/>
            </w:pPr>
            <w:r/>
            <w:r>
              <w:rPr>
                <w:b w:val="0"/>
                <w:sz w:val="16"/>
              </w:rPr>
              <w:t>45000</w:t>
            </w:r>
          </w:p>
        </w:tc>
        <w:tc>
          <w:tcPr>
            <w:tcW w:type="dxa" w:w="936"/>
            <w:vAlign w:val="center"/>
          </w:tcPr>
          <w:p>
            <w:pPr>
              <w:jc w:val="center"/>
            </w:pPr>
            <w:r/>
            <w:r>
              <w:rPr>
                <w:b w:val="0"/>
                <w:sz w:val="16"/>
              </w:rPr>
              <w:t>5000</w:t>
            </w:r>
          </w:p>
        </w:tc>
        <w:tc>
          <w:tcPr>
            <w:tcW w:type="dxa" w:w="936"/>
            <w:vAlign w:val="center"/>
          </w:tcPr>
          <w:p>
            <w:pPr>
              <w:jc w:val="center"/>
            </w:pPr>
            <w:r/>
            <w:r>
              <w:rPr>
                <w:b w:val="0"/>
                <w:sz w:val="16"/>
              </w:rPr>
              <w:t>10000</w:t>
            </w:r>
          </w:p>
        </w:tc>
        <w:tc>
          <w:tcPr>
            <w:tcW w:type="dxa" w:w="936"/>
            <w:vAlign w:val="center"/>
          </w:tcPr>
          <w:p>
            <w:pPr>
              <w:jc w:val="center"/>
            </w:pPr>
            <w:r/>
            <w:r>
              <w:rPr>
                <w:b w:val="0"/>
                <w:sz w:val="16"/>
              </w:rPr>
              <w:t>ResNet-18</w:t>
            </w:r>
          </w:p>
        </w:tc>
        <w:tc>
          <w:tcPr>
            <w:tcW w:type="dxa" w:w="936"/>
            <w:vAlign w:val="center"/>
          </w:tcPr>
          <w:p>
            <w:pPr>
              <w:jc w:val="center"/>
            </w:pPr>
            <w:r/>
            <w:r>
              <w:rPr>
                <w:b w:val="0"/>
                <w:sz w:val="16"/>
              </w:rPr>
              <w:t>0.8528</w:t>
            </w:r>
          </w:p>
        </w:tc>
        <w:tc>
          <w:tcPr>
            <w:tcW w:type="dxa" w:w="936"/>
            <w:vAlign w:val="center"/>
          </w:tcPr>
          <w:p>
            <w:pPr>
              <w:jc w:val="center"/>
            </w:pPr>
            <w:r/>
            <w:r>
              <w:rPr>
                <w:b w:val="0"/>
                <w:sz w:val="16"/>
              </w:rPr>
              <w:t>0.0966</w:t>
            </w:r>
          </w:p>
        </w:tc>
        <w:tc>
          <w:tcPr>
            <w:tcW w:type="dxa" w:w="936"/>
            <w:vAlign w:val="center"/>
          </w:tcPr>
          <w:p>
            <w:pPr>
              <w:jc w:val="center"/>
            </w:pPr>
            <w:r/>
            <w:r>
              <w:rPr>
                <w:b w:val="0"/>
                <w:sz w:val="16"/>
              </w:rPr>
              <w:t>0.9034</w:t>
            </w:r>
          </w:p>
        </w:tc>
        <w:tc>
          <w:tcPr>
            <w:tcW w:type="dxa" w:w="936"/>
            <w:vAlign w:val="center"/>
          </w:tcPr>
          <w:p>
            <w:pPr>
              <w:jc w:val="center"/>
            </w:pPr>
            <w:r/>
            <w:r>
              <w:rPr>
                <w:b w:val="0"/>
                <w:sz w:val="16"/>
              </w:rPr>
              <w:t>31.5549</w:t>
            </w:r>
          </w:p>
        </w:tc>
        <w:tc>
          <w:tcPr>
            <w:tcW w:type="dxa" w:w="936"/>
            <w:vAlign w:val="center"/>
          </w:tcPr>
          <w:p>
            <w:pPr>
              <w:jc w:val="center"/>
            </w:pPr>
            <w:r/>
            <w:r>
              <w:rPr>
                <w:b w:val="0"/>
                <w:sz w:val="16"/>
              </w:rPr>
              <w:t>0.9419</w:t>
            </w:r>
          </w:p>
        </w:tc>
      </w:tr>
    </w:tbl>
    <w:p/>
    <w:p>
      <w:pPr>
        <w:jc w:val="center"/>
      </w:pPr>
      <w:r>
        <w:drawing>
          <wp:inline xmlns:a="http://schemas.openxmlformats.org/drawingml/2006/main" xmlns:pic="http://schemas.openxmlformats.org/drawingml/2006/picture">
            <wp:extent cx="5943600" cy="983473"/>
            <wp:docPr id="6" name="Picture 6"/>
            <wp:cNvGraphicFramePr>
              <a:graphicFrameLocks noChangeAspect="1"/>
            </wp:cNvGraphicFramePr>
            <a:graphic>
              <a:graphicData uri="http://schemas.openxmlformats.org/drawingml/2006/picture">
                <pic:pic>
                  <pic:nvPicPr>
                    <pic:cNvPr id="0" name="benchmark_full_final.png"/>
                    <pic:cNvPicPr/>
                  </pic:nvPicPr>
                  <pic:blipFill>
                    <a:blip r:embed="rId14"/>
                    <a:stretch>
                      <a:fillRect/>
                    </a:stretch>
                  </pic:blipFill>
                  <pic:spPr>
                    <a:xfrm>
                      <a:off x="0" y="0"/>
                      <a:ext cx="5943600" cy="983473"/>
                    </a:xfrm>
                    <a:prstGeom prst="rect"/>
                  </pic:spPr>
                </pic:pic>
              </a:graphicData>
            </a:graphic>
          </wp:inline>
        </w:drawing>
      </w:r>
    </w:p>
    <w:p>
      <w:pPr>
        <w:spacing w:after="160"/>
        <w:jc w:val="center"/>
      </w:pPr>
      <w:r>
        <w:rPr>
          <w:i/>
          <w:color w:val="59636E"/>
          <w:sz w:val="18"/>
        </w:rPr>
        <w:t>Full-final benchmark trên split 45000/5000/10000.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4292F"/>
            <w:vAlign w:val="center"/>
          </w:tcPr>
          <w:p>
            <w:pPr>
              <w:jc w:val="center"/>
            </w:pPr>
            <w:r/>
            <w:r>
              <w:rPr>
                <w:b/>
                <w:color w:val="FFFFFF"/>
                <w:sz w:val="16"/>
              </w:rPr>
              <w:t>Selected epsilon</w:t>
            </w:r>
          </w:p>
        </w:tc>
        <w:tc>
          <w:tcPr>
            <w:tcW w:type="dxa" w:w="1560"/>
            <w:shd w:fill="24292F"/>
            <w:vAlign w:val="center"/>
          </w:tcPr>
          <w:p>
            <w:pPr>
              <w:jc w:val="center"/>
            </w:pPr>
            <w:r/>
            <w:r>
              <w:rPr>
                <w:b/>
                <w:color w:val="FFFFFF"/>
                <w:sz w:val="16"/>
              </w:rPr>
              <w:t>Baseline test acc</w:t>
            </w:r>
          </w:p>
        </w:tc>
        <w:tc>
          <w:tcPr>
            <w:tcW w:type="dxa" w:w="1560"/>
            <w:shd w:fill="24292F"/>
            <w:vAlign w:val="center"/>
          </w:tcPr>
          <w:p>
            <w:pPr>
              <w:jc w:val="center"/>
            </w:pPr>
            <w:r/>
            <w:r>
              <w:rPr>
                <w:b/>
                <w:color w:val="FFFFFF"/>
                <w:sz w:val="16"/>
              </w:rPr>
              <w:t>Protected test acc</w:t>
            </w:r>
          </w:p>
        </w:tc>
        <w:tc>
          <w:tcPr>
            <w:tcW w:type="dxa" w:w="1560"/>
            <w:shd w:fill="24292F"/>
            <w:vAlign w:val="center"/>
          </w:tcPr>
          <w:p>
            <w:pPr>
              <w:jc w:val="center"/>
            </w:pPr>
            <w:r/>
            <w:r>
              <w:rPr>
                <w:b/>
                <w:color w:val="FFFFFF"/>
                <w:sz w:val="16"/>
              </w:rPr>
              <w:t>Test drop</w:t>
            </w:r>
          </w:p>
        </w:tc>
        <w:tc>
          <w:tcPr>
            <w:tcW w:type="dxa" w:w="1560"/>
            <w:shd w:fill="24292F"/>
            <w:vAlign w:val="center"/>
          </w:tcPr>
          <w:p>
            <w:pPr>
              <w:jc w:val="center"/>
            </w:pPr>
            <w:r/>
            <w:r>
              <w:rPr>
                <w:b/>
                <w:color w:val="FFFFFF"/>
                <w:sz w:val="16"/>
              </w:rPr>
              <w:t>Test ASR</w:t>
            </w:r>
          </w:p>
        </w:tc>
        <w:tc>
          <w:tcPr>
            <w:tcW w:type="dxa" w:w="1560"/>
            <w:shd w:fill="24292F"/>
            <w:vAlign w:val="center"/>
          </w:tcPr>
          <w:p>
            <w:pPr>
              <w:jc w:val="center"/>
            </w:pPr>
            <w:r/>
            <w:r>
              <w:rPr>
                <w:b/>
                <w:color w:val="FFFFFF"/>
                <w:sz w:val="16"/>
              </w:rPr>
              <w:t>Runtime</w:t>
            </w:r>
          </w:p>
        </w:tc>
      </w:tr>
      <w:tr>
        <w:tc>
          <w:tcPr>
            <w:tcW w:type="dxa" w:w="1560"/>
            <w:vAlign w:val="center"/>
          </w:tcPr>
          <w:p>
            <w:pPr>
              <w:jc w:val="center"/>
            </w:pPr>
            <w:r/>
            <w:r>
              <w:rPr>
                <w:b w:val="0"/>
                <w:sz w:val="16"/>
              </w:rPr>
              <w:t>0.03</w:t>
            </w:r>
          </w:p>
        </w:tc>
        <w:tc>
          <w:tcPr>
            <w:tcW w:type="dxa" w:w="1560"/>
            <w:vAlign w:val="center"/>
          </w:tcPr>
          <w:p>
            <w:pPr>
              <w:jc w:val="center"/>
            </w:pPr>
            <w:r/>
            <w:r>
              <w:rPr>
                <w:b w:val="0"/>
                <w:sz w:val="16"/>
              </w:rPr>
              <w:t>0.8528</w:t>
            </w:r>
          </w:p>
        </w:tc>
        <w:tc>
          <w:tcPr>
            <w:tcW w:type="dxa" w:w="1560"/>
            <w:vAlign w:val="center"/>
          </w:tcPr>
          <w:p>
            <w:pPr>
              <w:jc w:val="center"/>
            </w:pPr>
            <w:r/>
            <w:r>
              <w:rPr>
                <w:b w:val="0"/>
                <w:sz w:val="16"/>
              </w:rPr>
              <w:t>0.1037</w:t>
            </w:r>
          </w:p>
        </w:tc>
        <w:tc>
          <w:tcPr>
            <w:tcW w:type="dxa" w:w="1560"/>
            <w:vAlign w:val="center"/>
          </w:tcPr>
          <w:p>
            <w:pPr>
              <w:jc w:val="center"/>
            </w:pPr>
            <w:r/>
            <w:r>
              <w:rPr>
                <w:b w:val="0"/>
                <w:sz w:val="16"/>
              </w:rPr>
              <w:t>0.7491</w:t>
            </w:r>
          </w:p>
        </w:tc>
        <w:tc>
          <w:tcPr>
            <w:tcW w:type="dxa" w:w="1560"/>
            <w:vAlign w:val="center"/>
          </w:tcPr>
          <w:p>
            <w:pPr>
              <w:jc w:val="center"/>
            </w:pPr>
            <w:r/>
            <w:r>
              <w:rPr>
                <w:b w:val="0"/>
                <w:sz w:val="16"/>
              </w:rPr>
              <w:t>0.8963</w:t>
            </w:r>
          </w:p>
        </w:tc>
        <w:tc>
          <w:tcPr>
            <w:tcW w:type="dxa" w:w="1560"/>
            <w:vAlign w:val="center"/>
          </w:tcPr>
          <w:p>
            <w:pPr>
              <w:jc w:val="center"/>
            </w:pPr>
            <w:r/>
            <w:r>
              <w:rPr>
                <w:b w:val="0"/>
                <w:sz w:val="16"/>
              </w:rPr>
              <w:t>3121.89s</w:t>
            </w:r>
          </w:p>
        </w:tc>
      </w:tr>
    </w:tbl>
    <w:p/>
    <w:p>
      <w:pPr>
        <w:jc w:val="center"/>
      </w:pPr>
      <w:r>
        <w:drawing>
          <wp:inline xmlns:a="http://schemas.openxmlformats.org/drawingml/2006/main" xmlns:pic="http://schemas.openxmlformats.org/drawingml/2006/picture">
            <wp:extent cx="5943600" cy="1468344"/>
            <wp:docPr id="7" name="Picture 7"/>
            <wp:cNvGraphicFramePr>
              <a:graphicFrameLocks noChangeAspect="1"/>
            </wp:cNvGraphicFramePr>
            <a:graphic>
              <a:graphicData uri="http://schemas.openxmlformats.org/drawingml/2006/picture">
                <pic:pic>
                  <pic:nvPicPr>
                    <pic:cNvPr id="0" name="benchmark_full_final_test.png"/>
                    <pic:cNvPicPr/>
                  </pic:nvPicPr>
                  <pic:blipFill>
                    <a:blip r:embed="rId15"/>
                    <a:stretch>
                      <a:fillRect/>
                    </a:stretch>
                  </pic:blipFill>
                  <pic:spPr>
                    <a:xfrm>
                      <a:off x="0" y="0"/>
                      <a:ext cx="5943600" cy="1468344"/>
                    </a:xfrm>
                    <a:prstGeom prst="rect"/>
                  </pic:spPr>
                </pic:pic>
              </a:graphicData>
            </a:graphic>
          </wp:inline>
        </w:drawing>
      </w:r>
    </w:p>
    <w:p>
      <w:pPr>
        <w:spacing w:after="160"/>
        <w:jc w:val="center"/>
      </w:pPr>
      <w:r>
        <w:rPr>
          <w:i/>
          <w:color w:val="59636E"/>
          <w:sz w:val="18"/>
        </w:rPr>
        <w:t>Kết quả final test của ResNet-18 victim.</w:t>
      </w:r>
    </w:p>
    <w:p>
      <w:r>
        <w:t>Baseline ResNet-18 đạt 0.8528 clean test accuracy khi train trên clean data. Khi train trên protected dataset, clean test accuracy chỉ còn 0.1037, gần mức đoán ngẫu nhiên của CIFAR-10. Đây là bằng chứng mạnh cho thấy protected dataset làm mô hình không học được đặc trưng tổng quát.</w:t>
      </w:r>
    </w:p>
    <w:p>
      <w:pPr>
        <w:pStyle w:val="Heading1"/>
      </w:pPr>
      <w:r>
        <w:t>9. Giai Đoạn 5: Transfer Victims</w:t>
      </w:r>
    </w:p>
    <w:p>
      <w:r>
        <w:t>Ở giai đoạn transfer, protected dataset đã sinh bằng ResNet-18 surrogate được dùng lại để train các victim model khác. Mục tiêu là kiểm tra nhiễu có chỉ hoạt động với ResNet-18 hay có thể chuyển sang kiến trúc khác.</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24292F"/>
            <w:vAlign w:val="center"/>
          </w:tcPr>
          <w:p>
            <w:pPr>
              <w:jc w:val="center"/>
            </w:pPr>
            <w:r/>
            <w:r>
              <w:rPr>
                <w:b/>
                <w:color w:val="FFFFFF"/>
                <w:sz w:val="16"/>
              </w:rPr>
              <w:t>Surrogate</w:t>
            </w:r>
          </w:p>
        </w:tc>
        <w:tc>
          <w:tcPr>
            <w:tcW w:type="dxa" w:w="1040"/>
            <w:shd w:fill="24292F"/>
            <w:vAlign w:val="center"/>
          </w:tcPr>
          <w:p>
            <w:pPr>
              <w:jc w:val="center"/>
            </w:pPr>
            <w:r/>
            <w:r>
              <w:rPr>
                <w:b/>
                <w:color w:val="FFFFFF"/>
                <w:sz w:val="16"/>
              </w:rPr>
              <w:t>Victim</w:t>
            </w:r>
          </w:p>
        </w:tc>
        <w:tc>
          <w:tcPr>
            <w:tcW w:type="dxa" w:w="1040"/>
            <w:shd w:fill="24292F"/>
            <w:vAlign w:val="center"/>
          </w:tcPr>
          <w:p>
            <w:pPr>
              <w:jc w:val="center"/>
            </w:pPr>
            <w:r/>
            <w:r>
              <w:rPr>
                <w:b/>
                <w:color w:val="FFFFFF"/>
                <w:sz w:val="16"/>
              </w:rPr>
              <w:t>Eps</w:t>
            </w:r>
          </w:p>
        </w:tc>
        <w:tc>
          <w:tcPr>
            <w:tcW w:type="dxa" w:w="1040"/>
            <w:shd w:fill="24292F"/>
            <w:vAlign w:val="center"/>
          </w:tcPr>
          <w:p>
            <w:pPr>
              <w:jc w:val="center"/>
            </w:pPr>
            <w:r/>
            <w:r>
              <w:rPr>
                <w:b/>
                <w:color w:val="FFFFFF"/>
                <w:sz w:val="16"/>
              </w:rPr>
              <w:t>Train</w:t>
            </w:r>
          </w:p>
        </w:tc>
        <w:tc>
          <w:tcPr>
            <w:tcW w:type="dxa" w:w="1040"/>
            <w:shd w:fill="24292F"/>
            <w:vAlign w:val="center"/>
          </w:tcPr>
          <w:p>
            <w:pPr>
              <w:jc w:val="center"/>
            </w:pPr>
            <w:r/>
            <w:r>
              <w:rPr>
                <w:b/>
                <w:color w:val="FFFFFF"/>
                <w:sz w:val="16"/>
              </w:rPr>
              <w:t>Test</w:t>
            </w:r>
          </w:p>
        </w:tc>
        <w:tc>
          <w:tcPr>
            <w:tcW w:type="dxa" w:w="1040"/>
            <w:shd w:fill="24292F"/>
            <w:vAlign w:val="center"/>
          </w:tcPr>
          <w:p>
            <w:pPr>
              <w:jc w:val="center"/>
            </w:pPr>
            <w:r/>
            <w:r>
              <w:rPr>
                <w:b/>
                <w:color w:val="FFFFFF"/>
                <w:sz w:val="16"/>
              </w:rPr>
              <w:t>Baseline acc</w:t>
            </w:r>
          </w:p>
        </w:tc>
        <w:tc>
          <w:tcPr>
            <w:tcW w:type="dxa" w:w="1040"/>
            <w:shd w:fill="24292F"/>
            <w:vAlign w:val="center"/>
          </w:tcPr>
          <w:p>
            <w:pPr>
              <w:jc w:val="center"/>
            </w:pPr>
            <w:r/>
            <w:r>
              <w:rPr>
                <w:b/>
                <w:color w:val="FFFFFF"/>
                <w:sz w:val="16"/>
              </w:rPr>
              <w:t>Protected acc</w:t>
            </w:r>
          </w:p>
        </w:tc>
        <w:tc>
          <w:tcPr>
            <w:tcW w:type="dxa" w:w="1040"/>
            <w:shd w:fill="24292F"/>
            <w:vAlign w:val="center"/>
          </w:tcPr>
          <w:p>
            <w:pPr>
              <w:jc w:val="center"/>
            </w:pPr>
            <w:r/>
            <w:r>
              <w:rPr>
                <w:b/>
                <w:color w:val="FFFFFF"/>
                <w:sz w:val="16"/>
              </w:rPr>
              <w:t>Drop</w:t>
            </w:r>
          </w:p>
        </w:tc>
        <w:tc>
          <w:tcPr>
            <w:tcW w:type="dxa" w:w="1040"/>
            <w:shd w:fill="24292F"/>
            <w:vAlign w:val="center"/>
          </w:tcPr>
          <w:p>
            <w:pPr>
              <w:jc w:val="center"/>
            </w:pPr>
            <w:r/>
            <w:r>
              <w:rPr>
                <w:b/>
                <w:color w:val="FFFFFF"/>
                <w:sz w:val="16"/>
              </w:rPr>
              <w:t>ASR</w:t>
            </w:r>
          </w:p>
        </w:tc>
      </w:tr>
      <w:tr>
        <w:tc>
          <w:tcPr>
            <w:tcW w:type="dxa" w:w="1040"/>
            <w:vAlign w:val="center"/>
          </w:tcPr>
          <w:p>
            <w:pPr>
              <w:jc w:val="center"/>
            </w:pPr>
            <w:r/>
            <w:r>
              <w:rPr>
                <w:b w:val="0"/>
                <w:sz w:val="16"/>
              </w:rPr>
              <w:t>ResNet-18</w:t>
            </w:r>
          </w:p>
        </w:tc>
        <w:tc>
          <w:tcPr>
            <w:tcW w:type="dxa" w:w="1040"/>
            <w:vAlign w:val="center"/>
          </w:tcPr>
          <w:p>
            <w:pPr>
              <w:jc w:val="center"/>
            </w:pPr>
            <w:r/>
            <w:r>
              <w:rPr>
                <w:b w:val="0"/>
                <w:sz w:val="16"/>
              </w:rPr>
              <w:t>MobileNetV2</w:t>
            </w:r>
          </w:p>
        </w:tc>
        <w:tc>
          <w:tcPr>
            <w:tcW w:type="dxa" w:w="1040"/>
            <w:vAlign w:val="center"/>
          </w:tcPr>
          <w:p>
            <w:pPr>
              <w:jc w:val="center"/>
            </w:pPr>
            <w:r/>
            <w:r>
              <w:rPr>
                <w:b w:val="0"/>
                <w:sz w:val="16"/>
              </w:rPr>
              <w:t>0.03</w:t>
            </w:r>
          </w:p>
        </w:tc>
        <w:tc>
          <w:tcPr>
            <w:tcW w:type="dxa" w:w="1040"/>
            <w:vAlign w:val="center"/>
          </w:tcPr>
          <w:p>
            <w:pPr>
              <w:jc w:val="center"/>
            </w:pPr>
            <w:r/>
            <w:r>
              <w:rPr>
                <w:b w:val="0"/>
                <w:sz w:val="16"/>
              </w:rPr>
              <w:t>45000</w:t>
            </w:r>
          </w:p>
        </w:tc>
        <w:tc>
          <w:tcPr>
            <w:tcW w:type="dxa" w:w="1040"/>
            <w:vAlign w:val="center"/>
          </w:tcPr>
          <w:p>
            <w:pPr>
              <w:jc w:val="center"/>
            </w:pPr>
            <w:r/>
            <w:r>
              <w:rPr>
                <w:b w:val="0"/>
                <w:sz w:val="16"/>
              </w:rPr>
              <w:t>10000</w:t>
            </w:r>
          </w:p>
        </w:tc>
        <w:tc>
          <w:tcPr>
            <w:tcW w:type="dxa" w:w="1040"/>
            <w:vAlign w:val="center"/>
          </w:tcPr>
          <w:p>
            <w:pPr>
              <w:jc w:val="center"/>
            </w:pPr>
            <w:r/>
            <w:r>
              <w:rPr>
                <w:b w:val="0"/>
                <w:sz w:val="16"/>
              </w:rPr>
              <w:t>0.657</w:t>
            </w:r>
          </w:p>
        </w:tc>
        <w:tc>
          <w:tcPr>
            <w:tcW w:type="dxa" w:w="1040"/>
            <w:vAlign w:val="center"/>
          </w:tcPr>
          <w:p>
            <w:pPr>
              <w:jc w:val="center"/>
            </w:pPr>
            <w:r/>
            <w:r>
              <w:rPr>
                <w:b w:val="0"/>
                <w:sz w:val="16"/>
              </w:rPr>
              <w:t>0.1008</w:t>
            </w:r>
          </w:p>
        </w:tc>
        <w:tc>
          <w:tcPr>
            <w:tcW w:type="dxa" w:w="1040"/>
            <w:vAlign w:val="center"/>
          </w:tcPr>
          <w:p>
            <w:pPr>
              <w:jc w:val="center"/>
            </w:pPr>
            <w:r/>
            <w:r>
              <w:rPr>
                <w:b w:val="0"/>
                <w:sz w:val="16"/>
              </w:rPr>
              <w:t>0.5562</w:t>
            </w:r>
          </w:p>
        </w:tc>
        <w:tc>
          <w:tcPr>
            <w:tcW w:type="dxa" w:w="1040"/>
            <w:vAlign w:val="center"/>
          </w:tcPr>
          <w:p>
            <w:pPr>
              <w:jc w:val="center"/>
            </w:pPr>
            <w:r/>
            <w:r>
              <w:rPr>
                <w:b w:val="0"/>
                <w:sz w:val="16"/>
              </w:rPr>
              <w:t>0.8992</w:t>
            </w:r>
          </w:p>
        </w:tc>
      </w:tr>
      <w:tr>
        <w:tc>
          <w:tcPr>
            <w:tcW w:type="dxa" w:w="1040"/>
            <w:shd w:fill="F2F4F7"/>
            <w:vAlign w:val="center"/>
          </w:tcPr>
          <w:p>
            <w:pPr>
              <w:jc w:val="center"/>
            </w:pPr>
            <w:r/>
            <w:r>
              <w:rPr>
                <w:b w:val="0"/>
                <w:sz w:val="16"/>
              </w:rPr>
              <w:t>ResNet-18</w:t>
            </w:r>
          </w:p>
        </w:tc>
        <w:tc>
          <w:tcPr>
            <w:tcW w:type="dxa" w:w="1040"/>
            <w:shd w:fill="F2F4F7"/>
            <w:vAlign w:val="center"/>
          </w:tcPr>
          <w:p>
            <w:pPr>
              <w:jc w:val="center"/>
            </w:pPr>
            <w:r/>
            <w:r>
              <w:rPr>
                <w:b w:val="0"/>
                <w:sz w:val="16"/>
              </w:rPr>
              <w:t>VGG-16</w:t>
            </w:r>
          </w:p>
        </w:tc>
        <w:tc>
          <w:tcPr>
            <w:tcW w:type="dxa" w:w="1040"/>
            <w:shd w:fill="F2F4F7"/>
            <w:vAlign w:val="center"/>
          </w:tcPr>
          <w:p>
            <w:pPr>
              <w:jc w:val="center"/>
            </w:pPr>
            <w:r/>
            <w:r>
              <w:rPr>
                <w:b w:val="0"/>
                <w:sz w:val="16"/>
              </w:rPr>
              <w:t>0.03</w:t>
            </w:r>
          </w:p>
        </w:tc>
        <w:tc>
          <w:tcPr>
            <w:tcW w:type="dxa" w:w="1040"/>
            <w:shd w:fill="F2F4F7"/>
            <w:vAlign w:val="center"/>
          </w:tcPr>
          <w:p>
            <w:pPr>
              <w:jc w:val="center"/>
            </w:pPr>
            <w:r/>
            <w:r>
              <w:rPr>
                <w:b w:val="0"/>
                <w:sz w:val="16"/>
              </w:rPr>
              <w:t>45000</w:t>
            </w:r>
          </w:p>
        </w:tc>
        <w:tc>
          <w:tcPr>
            <w:tcW w:type="dxa" w:w="1040"/>
            <w:shd w:fill="F2F4F7"/>
            <w:vAlign w:val="center"/>
          </w:tcPr>
          <w:p>
            <w:pPr>
              <w:jc w:val="center"/>
            </w:pPr>
            <w:r/>
            <w:r>
              <w:rPr>
                <w:b w:val="0"/>
                <w:sz w:val="16"/>
              </w:rPr>
              <w:t>10000</w:t>
            </w:r>
          </w:p>
        </w:tc>
        <w:tc>
          <w:tcPr>
            <w:tcW w:type="dxa" w:w="1040"/>
            <w:shd w:fill="F2F4F7"/>
            <w:vAlign w:val="center"/>
          </w:tcPr>
          <w:p>
            <w:pPr>
              <w:jc w:val="center"/>
            </w:pPr>
            <w:r/>
            <w:r>
              <w:rPr>
                <w:b w:val="0"/>
                <w:sz w:val="16"/>
              </w:rPr>
              <w:t>0.8291</w:t>
            </w:r>
          </w:p>
        </w:tc>
        <w:tc>
          <w:tcPr>
            <w:tcW w:type="dxa" w:w="1040"/>
            <w:shd w:fill="F2F4F7"/>
            <w:vAlign w:val="center"/>
          </w:tcPr>
          <w:p>
            <w:pPr>
              <w:jc w:val="center"/>
            </w:pPr>
            <w:r/>
            <w:r>
              <w:rPr>
                <w:b w:val="0"/>
                <w:sz w:val="16"/>
              </w:rPr>
              <w:t>0.1</w:t>
            </w:r>
          </w:p>
        </w:tc>
        <w:tc>
          <w:tcPr>
            <w:tcW w:type="dxa" w:w="1040"/>
            <w:shd w:fill="F2F4F7"/>
            <w:vAlign w:val="center"/>
          </w:tcPr>
          <w:p>
            <w:pPr>
              <w:jc w:val="center"/>
            </w:pPr>
            <w:r/>
            <w:r>
              <w:rPr>
                <w:b w:val="0"/>
                <w:sz w:val="16"/>
              </w:rPr>
              <w:t>0.7291</w:t>
            </w:r>
          </w:p>
        </w:tc>
        <w:tc>
          <w:tcPr>
            <w:tcW w:type="dxa" w:w="1040"/>
            <w:shd w:fill="F2F4F7"/>
            <w:vAlign w:val="center"/>
          </w:tcPr>
          <w:p>
            <w:pPr>
              <w:jc w:val="center"/>
            </w:pPr>
            <w:r/>
            <w:r>
              <w:rPr>
                <w:b w:val="0"/>
                <w:sz w:val="16"/>
              </w:rPr>
              <w:t>0.9</w:t>
            </w:r>
          </w:p>
        </w:tc>
      </w:tr>
    </w:tbl>
    <w:p/>
    <w:p>
      <w:pPr>
        <w:jc w:val="center"/>
      </w:pPr>
      <w:r>
        <w:drawing>
          <wp:inline xmlns:a="http://schemas.openxmlformats.org/drawingml/2006/main" xmlns:pic="http://schemas.openxmlformats.org/drawingml/2006/picture">
            <wp:extent cx="5943600" cy="1435552"/>
            <wp:docPr id="8" name="Picture 8"/>
            <wp:cNvGraphicFramePr>
              <a:graphicFrameLocks noChangeAspect="1"/>
            </wp:cNvGraphicFramePr>
            <a:graphic>
              <a:graphicData uri="http://schemas.openxmlformats.org/drawingml/2006/picture">
                <pic:pic>
                  <pic:nvPicPr>
                    <pic:cNvPr id="0" name="benchmark_transfer_victims.png"/>
                    <pic:cNvPicPr/>
                  </pic:nvPicPr>
                  <pic:blipFill>
                    <a:blip r:embed="rId16"/>
                    <a:stretch>
                      <a:fillRect/>
                    </a:stretch>
                  </pic:blipFill>
                  <pic:spPr>
                    <a:xfrm>
                      <a:off x="0" y="0"/>
                      <a:ext cx="5943600" cy="1435552"/>
                    </a:xfrm>
                    <a:prstGeom prst="rect"/>
                  </pic:spPr>
                </pic:pic>
              </a:graphicData>
            </a:graphic>
          </wp:inline>
        </w:drawing>
      </w:r>
    </w:p>
    <w:p>
      <w:pPr>
        <w:spacing w:after="160"/>
        <w:jc w:val="center"/>
      </w:pPr>
      <w:r>
        <w:rPr>
          <w:i/>
          <w:color w:val="59636E"/>
          <w:sz w:val="18"/>
        </w:rPr>
        <w:t>Benchmark transferability trên MobileNetV2 và VGG-16.</w:t>
      </w:r>
    </w:p>
    <w:p>
      <w:r>
        <w:t>Kết quả cho thấy cả MobileNetV2 và VGG-16 đều rơi về gần 0.10 clean test accuracy sau khi train trên protected dataset. Điều này chứng minh noise có khả năng transfer sang kiến trúc khác, không chỉ giới hạn ở model surrogate.</w:t>
      </w:r>
    </w:p>
    <w:p>
      <w:pPr>
        <w:pStyle w:val="Heading1"/>
      </w:pPr>
      <w:r>
        <w:t>10. Ý Nghĩa Các Chỉ Số</w:t>
      </w:r>
    </w:p>
    <w:tbl>
      <w:tblPr>
        <w:tblStyle w:val="TableGrid"/>
        <w:tblW w:type="auto" w:w="0"/>
        <w:jc w:val="center"/>
        <w:tblLook w:firstColumn="1" w:firstRow="1" w:lastColumn="0" w:lastRow="0" w:noHBand="0" w:noVBand="1" w:val="04A0"/>
      </w:tblPr>
      <w:tblGrid>
        <w:gridCol w:w="4680"/>
        <w:gridCol w:w="4680"/>
      </w:tblGrid>
      <w:tr>
        <w:tc>
          <w:tcPr>
            <w:tcW w:type="dxa" w:w="4680"/>
            <w:shd w:fill="24292F"/>
            <w:vAlign w:val="center"/>
          </w:tcPr>
          <w:p>
            <w:pPr>
              <w:jc w:val="center"/>
            </w:pPr>
            <w:r/>
            <w:r>
              <w:rPr>
                <w:b/>
                <w:color w:val="FFFFFF"/>
                <w:sz w:val="16"/>
              </w:rPr>
              <w:t>Chỉ số</w:t>
            </w:r>
          </w:p>
        </w:tc>
        <w:tc>
          <w:tcPr>
            <w:tcW w:type="dxa" w:w="4680"/>
            <w:shd w:fill="24292F"/>
            <w:vAlign w:val="center"/>
          </w:tcPr>
          <w:p>
            <w:pPr>
              <w:jc w:val="center"/>
            </w:pPr>
            <w:r/>
            <w:r>
              <w:rPr>
                <w:b/>
                <w:color w:val="FFFFFF"/>
                <w:sz w:val="16"/>
              </w:rPr>
              <w:t>Ý nghĩa</w:t>
            </w:r>
          </w:p>
        </w:tc>
      </w:tr>
      <w:tr>
        <w:tc>
          <w:tcPr>
            <w:tcW w:type="dxa" w:w="4680"/>
            <w:vAlign w:val="center"/>
          </w:tcPr>
          <w:p>
            <w:pPr>
              <w:jc w:val="center"/>
            </w:pPr>
            <w:r/>
            <w:r>
              <w:rPr>
                <w:b w:val="0"/>
                <w:sz w:val="16"/>
              </w:rPr>
              <w:t>Baseline clean test acc</w:t>
            </w:r>
          </w:p>
        </w:tc>
        <w:tc>
          <w:tcPr>
            <w:tcW w:type="dxa" w:w="4680"/>
            <w:vAlign w:val="center"/>
          </w:tcPr>
          <w:p>
            <w:pPr>
              <w:jc w:val="center"/>
            </w:pPr>
            <w:r/>
            <w:r>
              <w:rPr>
                <w:b w:val="0"/>
                <w:sz w:val="16"/>
              </w:rPr>
              <w:t>Accuracy của model train trên clean data và test trên clean test set.</w:t>
            </w:r>
          </w:p>
        </w:tc>
      </w:tr>
      <w:tr>
        <w:tc>
          <w:tcPr>
            <w:tcW w:type="dxa" w:w="4680"/>
            <w:shd w:fill="F2F4F7"/>
            <w:vAlign w:val="center"/>
          </w:tcPr>
          <w:p>
            <w:pPr>
              <w:jc w:val="center"/>
            </w:pPr>
            <w:r/>
            <w:r>
              <w:rPr>
                <w:b w:val="0"/>
                <w:sz w:val="16"/>
              </w:rPr>
              <w:t>Protected clean test acc</w:t>
            </w:r>
          </w:p>
        </w:tc>
        <w:tc>
          <w:tcPr>
            <w:tcW w:type="dxa" w:w="4680"/>
            <w:shd w:fill="F2F4F7"/>
            <w:vAlign w:val="center"/>
          </w:tcPr>
          <w:p>
            <w:pPr>
              <w:jc w:val="center"/>
            </w:pPr>
            <w:r/>
            <w:r>
              <w:rPr>
                <w:b w:val="0"/>
                <w:sz w:val="16"/>
              </w:rPr>
              <w:t>Accuracy của model train trên protected data nhưng test trên clean test set.</w:t>
            </w:r>
          </w:p>
        </w:tc>
      </w:tr>
      <w:tr>
        <w:tc>
          <w:tcPr>
            <w:tcW w:type="dxa" w:w="4680"/>
            <w:vAlign w:val="center"/>
          </w:tcPr>
          <w:p>
            <w:pPr>
              <w:jc w:val="center"/>
            </w:pPr>
            <w:r/>
            <w:r>
              <w:rPr>
                <w:b w:val="0"/>
                <w:sz w:val="16"/>
              </w:rPr>
              <w:t>Drop</w:t>
            </w:r>
          </w:p>
        </w:tc>
        <w:tc>
          <w:tcPr>
            <w:tcW w:type="dxa" w:w="4680"/>
            <w:vAlign w:val="center"/>
          </w:tcPr>
          <w:p>
            <w:pPr>
              <w:jc w:val="center"/>
            </w:pPr>
            <w:r/>
            <w:r>
              <w:rPr>
                <w:b w:val="0"/>
                <w:sz w:val="16"/>
              </w:rPr>
              <w:t>Mức giảm accuracy giữa baseline và protected victim.</w:t>
            </w:r>
          </w:p>
        </w:tc>
      </w:tr>
      <w:tr>
        <w:tc>
          <w:tcPr>
            <w:tcW w:type="dxa" w:w="4680"/>
            <w:shd w:fill="F2F4F7"/>
            <w:vAlign w:val="center"/>
          </w:tcPr>
          <w:p>
            <w:pPr>
              <w:jc w:val="center"/>
            </w:pPr>
            <w:r/>
            <w:r>
              <w:rPr>
                <w:b w:val="0"/>
                <w:sz w:val="16"/>
              </w:rPr>
              <w:t>ASR proxy</w:t>
            </w:r>
          </w:p>
        </w:tc>
        <w:tc>
          <w:tcPr>
            <w:tcW w:type="dxa" w:w="4680"/>
            <w:shd w:fill="F2F4F7"/>
            <w:vAlign w:val="center"/>
          </w:tcPr>
          <w:p>
            <w:pPr>
              <w:jc w:val="center"/>
            </w:pPr>
            <w:r/>
            <w:r>
              <w:rPr>
                <w:b w:val="0"/>
                <w:sz w:val="16"/>
              </w:rPr>
              <w:t>Xấp xỉ mức thành công của attack, thường tính gần bằng 1 - protected clean test accuracy.</w:t>
            </w:r>
          </w:p>
        </w:tc>
      </w:tr>
      <w:tr>
        <w:tc>
          <w:tcPr>
            <w:tcW w:type="dxa" w:w="4680"/>
            <w:vAlign w:val="center"/>
          </w:tcPr>
          <w:p>
            <w:pPr>
              <w:jc w:val="center"/>
            </w:pPr>
            <w:r/>
            <w:r>
              <w:rPr>
                <w:b w:val="0"/>
                <w:sz w:val="16"/>
              </w:rPr>
              <w:t>PSNR</w:t>
            </w:r>
          </w:p>
        </w:tc>
        <w:tc>
          <w:tcPr>
            <w:tcW w:type="dxa" w:w="4680"/>
            <w:vAlign w:val="center"/>
          </w:tcPr>
          <w:p>
            <w:pPr>
              <w:jc w:val="center"/>
            </w:pPr>
            <w:r/>
            <w:r>
              <w:rPr>
                <w:b w:val="0"/>
                <w:sz w:val="16"/>
              </w:rPr>
              <w:t>Đo mức sai khác ảnh theo tín hiệu/nhiễu; càng cao ảnh càng giống gốc.</w:t>
            </w:r>
          </w:p>
        </w:tc>
      </w:tr>
      <w:tr>
        <w:tc>
          <w:tcPr>
            <w:tcW w:type="dxa" w:w="4680"/>
            <w:shd w:fill="F2F4F7"/>
            <w:vAlign w:val="center"/>
          </w:tcPr>
          <w:p>
            <w:pPr>
              <w:jc w:val="center"/>
            </w:pPr>
            <w:r/>
            <w:r>
              <w:rPr>
                <w:b w:val="0"/>
                <w:sz w:val="16"/>
              </w:rPr>
              <w:t>SSIM</w:t>
            </w:r>
          </w:p>
        </w:tc>
        <w:tc>
          <w:tcPr>
            <w:tcW w:type="dxa" w:w="4680"/>
            <w:shd w:fill="F2F4F7"/>
            <w:vAlign w:val="center"/>
          </w:tcPr>
          <w:p>
            <w:pPr>
              <w:jc w:val="center"/>
            </w:pPr>
            <w:r/>
            <w:r>
              <w:rPr>
                <w:b w:val="0"/>
                <w:sz w:val="16"/>
              </w:rPr>
              <w:t>Đo độ tương đồng cấu trúc ảnh; càng gần 1 ảnh càng giống gốc.</w:t>
            </w:r>
          </w:p>
        </w:tc>
      </w:tr>
      <w:tr>
        <w:tc>
          <w:tcPr>
            <w:tcW w:type="dxa" w:w="4680"/>
            <w:vAlign w:val="center"/>
          </w:tcPr>
          <w:p>
            <w:pPr>
              <w:jc w:val="center"/>
            </w:pPr>
            <w:r/>
            <w:r>
              <w:rPr>
                <w:b w:val="0"/>
                <w:sz w:val="16"/>
              </w:rPr>
              <w:t>L-infinity</w:t>
            </w:r>
          </w:p>
        </w:tc>
        <w:tc>
          <w:tcPr>
            <w:tcW w:type="dxa" w:w="4680"/>
            <w:vAlign w:val="center"/>
          </w:tcPr>
          <w:p>
            <w:pPr>
              <w:jc w:val="center"/>
            </w:pPr>
            <w:r/>
            <w:r>
              <w:rPr>
                <w:b w:val="0"/>
                <w:sz w:val="16"/>
              </w:rPr>
              <w:t>Giới hạn biên độ nhiễu tối đa trên mỗi pixel.</w:t>
            </w:r>
          </w:p>
        </w:tc>
      </w:tr>
    </w:tbl>
    <w:p/>
    <w:p>
      <w:pPr>
        <w:pStyle w:val="Heading1"/>
      </w:pPr>
      <w:r>
        <w:t>11. Kết Luận</w:t>
      </w:r>
    </w:p>
    <w:p>
      <w:r>
        <w:t>Qua các giai đoạn thử nghiệm, project đã xây dựng được một pipeline Unlearnable Examples hoàn chỉnh: sinh nhiễu bằng PGD, tạo protected dataset, train victim trên protected dataset, đánh giá trên clean test set, chọn epsilon bằng validation và kiểm tra transferability trên nhiều kiến trúc.</w:t>
      </w:r>
    </w:p>
    <w:p>
      <w:r>
        <w:t>Kết quả chính cho thấy ResNet-18 victim giảm từ 0.8528 xuống 0.1037 clean test accuracy. MobileNetV2 và VGG-16 cũng giảm về khoảng 0.10 khi train trên cùng protected dataset. Điều này phù hợp với mục tiêu đề tài: làm nhiễu dữ liệu nhằm ngăn chặn việc trích xuất đặc trưng phục vụ huấn luyện mô hình học sâu.</w:t>
      </w:r>
    </w:p>
    <w:p>
      <w:pPr>
        <w:pStyle w:val="Heading1"/>
      </w:pPr>
      <w:r>
        <w:t>12. Giới Hạn Và Hướng Tiếp Theo</w:t>
      </w:r>
    </w:p>
    <w:p>
      <w:pPr>
        <w:pStyle w:val="ListBullet"/>
        <w:spacing w:after="80"/>
      </w:pPr>
      <w:r>
        <w:t>Kết quả hiện tại tập trung vào CIFAR-10, ảnh 32x32 và bài toán image classification.</w:t>
      </w:r>
    </w:p>
    <w:p>
      <w:pPr>
        <w:pStyle w:val="ListBullet"/>
        <w:spacing w:after="80"/>
      </w:pPr>
      <w:r>
        <w:t>Unlearnable hiện dùng class-wise noise; sample-wise noise có thể là hướng mở rộng.</w:t>
      </w:r>
    </w:p>
    <w:p>
      <w:pPr>
        <w:pStyle w:val="ListBullet"/>
        <w:spacing w:after="80"/>
      </w:pPr>
      <w:r>
        <w:t>Cloaking và CLIP-space Concept Poisoning cần benchmark riêng với metric khớp mục tiêu từng kỹ thuật.</w:t>
      </w:r>
    </w:p>
    <w:p>
      <w:pPr>
        <w:pStyle w:val="ListBullet"/>
        <w:spacing w:after="80"/>
      </w:pPr>
      <w:r>
        <w:t>Với ảnh độ phân giải cao, cần đánh giá thêm pipeline patch-based hoặc resize-based trong demo thực tế.</w:t>
      </w:r>
    </w:p>
    <w:p>
      <w:pPr>
        <w:pStyle w:val="Heading1"/>
      </w:pPr>
      <w:r>
        <w:t>Phụ Lục: Notebook Và Kết Quả</w:t>
      </w:r>
    </w:p>
    <w:tbl>
      <w:tblPr>
        <w:tblStyle w:val="TableGrid"/>
        <w:tblW w:type="auto" w:w="0"/>
        <w:jc w:val="center"/>
        <w:tblLook w:firstColumn="1" w:firstRow="1" w:lastColumn="0" w:lastRow="0" w:noHBand="0" w:noVBand="1" w:val="04A0"/>
      </w:tblPr>
      <w:tblGrid>
        <w:gridCol w:w="4680"/>
        <w:gridCol w:w="4680"/>
      </w:tblGrid>
      <w:tr>
        <w:tc>
          <w:tcPr>
            <w:tcW w:type="dxa" w:w="4680"/>
            <w:shd w:fill="24292F"/>
            <w:vAlign w:val="center"/>
          </w:tcPr>
          <w:p>
            <w:pPr>
              <w:jc w:val="center"/>
            </w:pPr>
            <w:r/>
            <w:r>
              <w:rPr>
                <w:b/>
                <w:color w:val="FFFFFF"/>
                <w:sz w:val="16"/>
              </w:rPr>
              <w:t>Notebook</w:t>
            </w:r>
          </w:p>
        </w:tc>
        <w:tc>
          <w:tcPr>
            <w:tcW w:type="dxa" w:w="4680"/>
            <w:shd w:fill="24292F"/>
            <w:vAlign w:val="center"/>
          </w:tcPr>
          <w:p>
            <w:pPr>
              <w:jc w:val="center"/>
            </w:pPr>
            <w:r/>
            <w:r>
              <w:rPr>
                <w:b/>
                <w:color w:val="FFFFFF"/>
                <w:sz w:val="16"/>
              </w:rPr>
              <w:t>Vai trò</w:t>
            </w:r>
          </w:p>
        </w:tc>
      </w:tr>
      <w:tr>
        <w:tc>
          <w:tcPr>
            <w:tcW w:type="dxa" w:w="4680"/>
            <w:vAlign w:val="center"/>
          </w:tcPr>
          <w:p>
            <w:pPr>
              <w:jc w:val="center"/>
            </w:pPr>
            <w:r/>
            <w:r>
              <w:rPr>
                <w:b w:val="0"/>
                <w:sz w:val="16"/>
              </w:rPr>
              <w:t>colab_unlearnable_experiment.ipynb</w:t>
            </w:r>
          </w:p>
        </w:tc>
        <w:tc>
          <w:tcPr>
            <w:tcW w:type="dxa" w:w="4680"/>
            <w:vAlign w:val="center"/>
          </w:tcPr>
          <w:p>
            <w:pPr>
              <w:jc w:val="center"/>
            </w:pPr>
            <w:r/>
            <w:r>
              <w:rPr>
                <w:b w:val="0"/>
                <w:sz w:val="16"/>
              </w:rPr>
              <w:t>Thử nghiệm ban đầu trên subset 5000.</w:t>
            </w:r>
          </w:p>
        </w:tc>
      </w:tr>
      <w:tr>
        <w:tc>
          <w:tcPr>
            <w:tcW w:type="dxa" w:w="4680"/>
            <w:shd w:fill="F2F4F7"/>
            <w:vAlign w:val="center"/>
          </w:tcPr>
          <w:p>
            <w:pPr>
              <w:jc w:val="center"/>
            </w:pPr>
            <w:r/>
            <w:r>
              <w:rPr>
                <w:b w:val="0"/>
                <w:sz w:val="16"/>
              </w:rPr>
              <w:t>colab_unlearnable_validation_experiment.ipynb</w:t>
            </w:r>
          </w:p>
        </w:tc>
        <w:tc>
          <w:tcPr>
            <w:tcW w:type="dxa" w:w="4680"/>
            <w:shd w:fill="F2F4F7"/>
            <w:vAlign w:val="center"/>
          </w:tcPr>
          <w:p>
            <w:pPr>
              <w:jc w:val="center"/>
            </w:pPr>
            <w:r/>
            <w:r>
              <w:rPr>
                <w:b w:val="0"/>
                <w:sz w:val="16"/>
              </w:rPr>
              <w:t>Validation ablation để chọn epsilon.</w:t>
            </w:r>
          </w:p>
        </w:tc>
      </w:tr>
      <w:tr>
        <w:tc>
          <w:tcPr>
            <w:tcW w:type="dxa" w:w="4680"/>
            <w:vAlign w:val="center"/>
          </w:tcPr>
          <w:p>
            <w:pPr>
              <w:jc w:val="center"/>
            </w:pPr>
            <w:r/>
            <w:r>
              <w:rPr>
                <w:b w:val="0"/>
                <w:sz w:val="16"/>
              </w:rPr>
              <w:t>colab_unlearnable_full_final_experiment.ipynb</w:t>
            </w:r>
          </w:p>
        </w:tc>
        <w:tc>
          <w:tcPr>
            <w:tcW w:type="dxa" w:w="4680"/>
            <w:vAlign w:val="center"/>
          </w:tcPr>
          <w:p>
            <w:pPr>
              <w:jc w:val="center"/>
            </w:pPr>
            <w:r/>
            <w:r>
              <w:rPr>
                <w:b w:val="0"/>
                <w:sz w:val="16"/>
              </w:rPr>
              <w:t>Chạy benchmark chính trên split 45000/5000/10000.</w:t>
            </w:r>
          </w:p>
        </w:tc>
      </w:tr>
      <w:tr>
        <w:tc>
          <w:tcPr>
            <w:tcW w:type="dxa" w:w="4680"/>
            <w:shd w:fill="F2F4F7"/>
            <w:vAlign w:val="center"/>
          </w:tcPr>
          <w:p>
            <w:pPr>
              <w:jc w:val="center"/>
            </w:pPr>
            <w:r/>
            <w:r>
              <w:rPr>
                <w:b w:val="0"/>
                <w:sz w:val="16"/>
              </w:rPr>
              <w:t>colab_unlearnable_transfer_victims.ipynb</w:t>
            </w:r>
          </w:p>
        </w:tc>
        <w:tc>
          <w:tcPr>
            <w:tcW w:type="dxa" w:w="4680"/>
            <w:shd w:fill="F2F4F7"/>
            <w:vAlign w:val="center"/>
          </w:tcPr>
          <w:p>
            <w:pPr>
              <w:jc w:val="center"/>
            </w:pPr>
            <w:r/>
            <w:r>
              <w:rPr>
                <w:b w:val="0"/>
                <w:sz w:val="16"/>
              </w:rPr>
              <w:t>Kiểm tra transferability trên MobileNetV2 và VGG-16.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