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Arial" w:cs="Arial" w:eastAsia="Arial" w:hAnsi="Arial"/>
          <w:b/>
          <w:bCs/>
          <w:caps/>
          <w:sz w:val="36"/>
          <w:szCs w:val="36"/>
        </w:rPr>
        <w:t xml:space="preserve">CHAPTER FIVE</w:t>
      </w:r>
    </w:p>
    <w:p>
      <w:pPr>
        <w:spacing w:before="0" w:after="600"/>
        <w:jc w:val="center"/>
      </w:pPr>
      <w:r>
        <w:rPr>
          <w:rFonts w:ascii="Arial" w:cs="Arial" w:eastAsia="Arial" w:hAnsi="Arial"/>
          <w:b/>
          <w:bCs/>
          <w:caps/>
          <w:sz w:val="32"/>
          <w:szCs w:val="32"/>
        </w:rPr>
        <w:t xml:space="preserve">CONCLUSIONS AND RECOMMENDATIONS</w:t>
      </w:r>
    </w:p>
    <w:p>
      <w:pPr>
        <w:pStyle w:val="Heading1"/>
        <w:spacing w:before="480" w:after="240"/>
      </w:pPr>
      <w:r>
        <w:rPr>
          <w:rFonts w:ascii="Arial" w:cs="Arial" w:eastAsia="Arial" w:hAnsi="Arial"/>
          <w:b/>
          <w:bCs/>
          <w:color w:val="000000"/>
          <w:sz w:val="32"/>
          <w:szCs w:val="32"/>
        </w:rPr>
        <w:t xml:space="preserve">5.1 Introduction</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This chapter synthesizes the cumulative findings of the study and articulates the theoretical, methodological, and practical conclusions that can be drawn from the research. The chapter is organized to align with the research objectives established in Chapter One and the results presented and discussed in Chapter Four. Section 5.2 provides an overview of the study. Section 5.3 presents a structured summary of key findings, organized by research objective. Section 5.4 draws formal conclusions in relation to the research questions. Section 5.5 outlines the study's principal contributions to knowledge. Section 5.6 presents recommendations directed at distinct stakeholder groups — academic researchers, healthcare policy makers, technology developers, and health system practitioners. Section 5.7 acknowledges the study's limitations. Section 5.8 proposes a prioritized agenda for future research. Section 5.9 provides a final concluding statement.</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broader purpose of this concluding chapter is not merely to restate results but to interpret their significance within Rwanda's digital health transformation agenda, to critically assess the conditions under which the proposed system could responsibly transition from proof-of-concept to operational deployment, and to identify the research investments most likely to accelerate that transition.</w:t>
      </w:r>
    </w:p>
    <w:p>
      <w:pPr>
        <w:pStyle w:val="Heading1"/>
        <w:spacing w:before="480" w:after="240"/>
      </w:pPr>
      <w:r>
        <w:rPr>
          <w:rFonts w:ascii="Arial" w:cs="Arial" w:eastAsia="Arial" w:hAnsi="Arial"/>
          <w:b/>
          <w:bCs/>
          <w:color w:val="000000"/>
          <w:sz w:val="32"/>
          <w:szCs w:val="32"/>
        </w:rPr>
        <w:t xml:space="preserve">5.2 Overview of the Study</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This research was motivated by a well-documented and consequential gap at the intersection of multilingual natural language processing, clinical decision support, and global health informatics. Despite the rapid proliferation of AI-based diagnostic tools internationally, the majority of such systems are designed for high-resource, monolingual — predominantly English — contexts, rendering them poorly suited for the communicative realities of healthcare in sub-Saharan Africa. In Rwanda specifically, patient–provider interactions commonly involve natural code-switching between Kinyarwanda and English, a phenomenon that conventional NLP systems are not equipped to handle effectively.</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Simultaneously, malaria continues to impose a disproportionate health burden on Rwanda and the wider sub-Saharan African region. Despite being largely preventable and treatable when diagnosed early, malaria-related morbidity and mortality remain significant, particularly in community-level and primary healthcare settings where access to laboratory diagnostic services may be limited or delayed (WHO, 2023). The convergence of these two challenges — multilingual communication complexity and the need for accessible, early symptom-based triage — defined the problem space that this study sought to address.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In response, the study developed and evaluated a hybrid bilingual AI diagnostic support system comprising three integrated components: (i) a fine-tuned multilingual BERT (mBERT) model for Named Entity Recognition of medical symptoms in Kinyarwanda–English code-switched text; (ii) an XGBoost gradient-boosted classifier for probabilistic malaria–flu diagnostic prediction based on structured symptom feature vectors; and (iii) a rule-based adaptive clarification and triage module that dynamically elicits missing diagnostic information and generates safety-oriented care recommendations. The study adopted a Design Science Research methodology (Hevner et al., 2004), evaluating the system through quantitative performance metrics, cross-validation, cascading error analysis, and expert clinical plausibility review.</w:t>
      </w:r>
    </w:p>
    <w:p>
      <w:pPr>
        <w:pStyle w:val="Heading1"/>
        <w:spacing w:before="480" w:after="240"/>
      </w:pPr>
      <w:r>
        <w:rPr>
          <w:rFonts w:ascii="Arial" w:cs="Arial" w:eastAsia="Arial" w:hAnsi="Arial"/>
          <w:b/>
          <w:bCs/>
          <w:color w:val="000000"/>
          <w:sz w:val="32"/>
          <w:szCs w:val="32"/>
        </w:rPr>
        <w:t xml:space="preserve">5.3 Summary of Key Findings</w:t>
      </w:r>
    </w:p>
    <w:p>
      <w:pPr>
        <w:pStyle w:val="Heading2"/>
        <w:spacing w:before="320" w:after="160"/>
      </w:pPr>
      <w:r>
        <w:rPr>
          <w:rFonts w:ascii="Arial" w:cs="Arial" w:eastAsia="Arial" w:hAnsi="Arial"/>
          <w:b/>
          <w:bCs/>
          <w:color w:val="000000"/>
          <w:sz w:val="28"/>
          <w:szCs w:val="28"/>
        </w:rPr>
        <w:t xml:space="preserve">5.3.1 Findings Related to Objective One: Bilingual Symptom Extraction</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first specific objective was to fine-tune a bilingual Large Language Model to accurately extract malaria-related symptoms from Kinyarwanda–English code-switched patient narratives. This objective was operationalized through the fine-tuning of the bert-base-multilingual-cased (mBERT) model for Named Entity Recognition using a BIO-tagged annotated corpus of 450 bilingual symptom sentences.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fine-tuned model achieved a precision of 0.84, recall of 0.79, and F1-score of 0.81 (95% CI: 0.76–0.86), exceeding the pre-specified target threshold of ≥ 0.75 and confirming that transformer-based multilingual NLP is viable for symptom entity extraction in a low-resource, code-switched clinical language environment. The asymmetry between precision and recall — reflecting a deliberately cautious prediction strategy — was identified as a clinically desirable property, consistent with human-in-the-loop AI design principles (Abbas et al., 2025).</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Error analysis at code-switching boundaries identified three principal failure modes: subword fragmentation (38.4% of boundary errors), cross-lingual span boundary errors (31.7%), and context-dependent polysemy (29.9%). The last category was identified as the most clinically consequential, as it results in complete symptom omission rather than partial entity recognition. These findings highlight the inherent limitations of token-level NER in morphologically rich low-resource languages and point toward the development of discourse-level disambiguation mechanisms and Kinyarwanda-native language models as essential future investments.</w:t>
      </w:r>
    </w:p>
    <w:p>
      <w:pPr>
        <w:pStyle w:val="Heading2"/>
        <w:spacing w:before="320" w:after="160"/>
      </w:pPr>
      <w:r>
        <w:rPr>
          <w:rFonts w:ascii="Arial" w:cs="Arial" w:eastAsia="Arial" w:hAnsi="Arial"/>
          <w:b/>
          <w:bCs/>
          <w:color w:val="000000"/>
          <w:sz w:val="28"/>
          <w:szCs w:val="28"/>
        </w:rPr>
        <w:t xml:space="preserve">5.3.2 Findings Related to Objective Two: Diagnostic Prediction and Triage</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second specific objective was to design and implement an LLM-based diagnostic prediction framework that uses extracted malaria-related symptoms to estimate malaria risk and produce context-aware triage recommendations. This was operationalized through an XGBoost classifier trained on structured binary symptom vectors, integrated with a rule-based triage layer incorporating confidence-gated referral protocols.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classifier achieved an overall accuracy of 89.0%, macro F1-score of 0.86, and AUC-ROC of 0.934 on the held-out test set, all substantially exceeding the minimum performance targets specified in Section 3.8.2. Five-fold cross-validation produced stable results (mean accuracy 88.3% ± 1.4 percentage points), confirming generalizability within the scope of the synthetic evaluation dataset. Prevalence-adjusted analysis under realistic Rwandan epidemiological conditions (35% malaria prevalence) yielded a negative predictive value of 0.96, indicating that the system reliably excludes malaria — the most clinically critical triage function.</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adaptive clarification module produced a statistically significant improvement of 12.2 percentage points in accuracy on underspecified inputs (p &lt; 0.001), resolving 87.5% of ambiguous cases to the required diagnostic confidence threshold within a mean of 2.1 interactive turns. The symmetric confusion matrix (33 false negatives vs. 30 false positives) confirmed the absence of systematic directional diagnostic bias, a critical safety-relevant property in a malaria-endemic setting.</w:t>
      </w:r>
    </w:p>
    <w:p>
      <w:pPr>
        <w:pStyle w:val="Heading2"/>
        <w:spacing w:before="320" w:after="160"/>
      </w:pPr>
      <w:r>
        <w:rPr>
          <w:rFonts w:ascii="Arial" w:cs="Arial" w:eastAsia="Arial" w:hAnsi="Arial"/>
          <w:b/>
          <w:bCs/>
          <w:color w:val="000000"/>
          <w:sz w:val="28"/>
          <w:szCs w:val="28"/>
        </w:rPr>
        <w:t xml:space="preserve">5.3.3 Findings Related to Objective Three: System Evaluation</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third specific objective was to evaluate the proposed bilingual system in terms of prediction accuracy, safety properties, and practical applicability. This was assessed through multiple complementary evaluation methodologies: quantitative held-out test performance, five-fold cross-validation, cascading error propagation analysis, expert clinical plausibility review (Cohen's kappa = 0.82), and comparative analysis against existing AI diagnostic systems.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Collectively, these evaluation streams produced convergent evidence supporting the feasibility and safety of the proposed framework. The cascading error analysis demonstrated graceful pipeline degradation under NER failure conditions, with accuracy remaining above the minimum acceptable threshold (0.823) even when a critical symptom feature was absent from the feature vector. The comparative analysis established that the proposed system's explicit accommodation of Kinyarwanda–English code-switching, its interpretable feature-attributable predictions, and its confidence-gated triage mechanism represent meaningful advances over existing commercial systems and general-purpose LLMs in the specific context of Rwandan multilingual healthcare.</w:t>
      </w:r>
    </w:p>
    <w:p>
      <w:pPr>
        <w:spacing w:before="60" w:after="60"/>
      </w:pPr>
      <w:r>
        <w:t xml:space="preserve"/>
      </w:r>
    </w:p>
    <w:p>
      <w:pPr>
        <w:spacing w:before="160" w:after="100"/>
        <w:jc w:val="center"/>
      </w:pPr>
      <w:r>
        <w:rPr>
          <w:rFonts w:ascii="Times New Roman" w:cs="Times New Roman" w:eastAsia="Times New Roman" w:hAnsi="Times New Roman"/>
          <w:i/>
          <w:iCs/>
          <w:color w:val="333333"/>
          <w:sz w:val="22"/>
          <w:szCs w:val="22"/>
        </w:rPr>
        <w:t xml:space="preserve">Table 5.1: Consolidated Summary of Research Objectives, Methods, and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3100"/>
        <w:gridCol w:w="1560"/>
      </w:tblGrid>
      <w:tr>
        <w:trPr>
          <w:tblHeader/>
        </w:trPr>
        <w:tc>
          <w:tcPr>
            <w:tcW w:type="dxa" w:w="24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 Objective</w:t>
            </w:r>
          </w:p>
        </w:tc>
        <w:tc>
          <w:tcPr>
            <w:tcW w:type="dxa" w:w="19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1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Result</w:t>
            </w:r>
          </w:p>
        </w:tc>
        <w:tc>
          <w:tcPr>
            <w:tcW w:type="dxa" w:w="156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Met?</w:t>
            </w:r>
          </w:p>
        </w:tc>
      </w:tr>
      <w:tr>
        <w:tc>
          <w:tcPr>
            <w:tcW w:type="dxa" w:w="24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Obj. 1: Bilingual symptom extraction via fine-tuned mBERT NER</w:t>
            </w:r>
          </w:p>
        </w:tc>
        <w:tc>
          <w:tcPr>
            <w:tcW w:type="dxa" w:w="19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mBERT fine-tuning; BIO NER; error analysis</w:t>
            </w:r>
          </w:p>
        </w:tc>
        <w:tc>
          <w:tcPr>
            <w:tcW w:type="dxa" w:w="31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F1 = 0.81 [CI: 0.76–0.86]; Precision = 0.84; Recall = 0.79</w:t>
            </w:r>
          </w:p>
        </w:tc>
        <w:tc>
          <w:tcPr>
            <w:tcW w:type="dxa" w:w="156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Yes — exceeded ≥ 0.75</w:t>
            </w:r>
          </w:p>
        </w:tc>
      </w:tr>
      <w:tr>
        <w:tc>
          <w:tcPr>
            <w:tcW w:type="dxa" w:w="2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Obj. 2: Diagnostic prediction and triage framework via XGBoost + rule-based layer</w:t>
            </w:r>
          </w:p>
        </w:tc>
        <w:tc>
          <w:tcPr>
            <w:tcW w:type="dxa" w:w="1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XGBoost + grid search; 5-fold CV; adaptive clarification module</w:t>
            </w:r>
          </w:p>
        </w:tc>
        <w:tc>
          <w:tcPr>
            <w:tcW w:type="dxa" w:w="31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Accuracy = 0.89; AUC = 0.934; NPV (adjusted) = 0.96; +12.2pp on clarification</w:t>
            </w:r>
          </w:p>
        </w:tc>
        <w:tc>
          <w:tcPr>
            <w:tcW w:type="dxa" w:w="15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Yes — substantially exceeded all targets</w:t>
            </w:r>
          </w:p>
        </w:tc>
      </w:tr>
      <w:tr>
        <w:tc>
          <w:tcPr>
            <w:tcW w:type="dxa" w:w="24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Obj. 3: System evaluation — accuracy, safety, and applicability</w:t>
            </w:r>
          </w:p>
        </w:tc>
        <w:tc>
          <w:tcPr>
            <w:tcW w:type="dxa" w:w="19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Cascading error analysis; expert review (κ = 0.82); comparative analysis</w:t>
            </w:r>
          </w:p>
        </w:tc>
        <w:tc>
          <w:tcPr>
            <w:tcW w:type="dxa" w:w="31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Graceful degradation confirmed; no directional bias; favourable comparative profile</w:t>
            </w:r>
          </w:p>
        </w:tc>
        <w:tc>
          <w:tcPr>
            <w:tcW w:type="dxa" w:w="156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Yes — all evaluation dimensions satisfied</w:t>
            </w:r>
          </w:p>
        </w:tc>
      </w:tr>
    </w:tbl>
    <w:p>
      <w:pPr>
        <w:spacing w:before="60" w:after="60"/>
      </w:pPr>
      <w:r>
        <w:t xml:space="preserve"/>
      </w:r>
    </w:p>
    <w:p>
      <w:pPr>
        <w:pStyle w:val="Heading1"/>
        <w:spacing w:before="480" w:after="240"/>
      </w:pPr>
      <w:r>
        <w:rPr>
          <w:rFonts w:ascii="Arial" w:cs="Arial" w:eastAsia="Arial" w:hAnsi="Arial"/>
          <w:b/>
          <w:bCs/>
          <w:color w:val="000000"/>
          <w:sz w:val="32"/>
          <w:szCs w:val="32"/>
        </w:rPr>
        <w:t xml:space="preserve">5.4 Conclusions</w:t>
      </w:r>
    </w:p>
    <w:p>
      <w:pPr>
        <w:pStyle w:val="Heading2"/>
        <w:spacing w:before="320" w:after="160"/>
      </w:pPr>
      <w:r>
        <w:rPr>
          <w:rFonts w:ascii="Arial" w:cs="Arial" w:eastAsia="Arial" w:hAnsi="Arial"/>
          <w:b/>
          <w:bCs/>
          <w:color w:val="000000"/>
          <w:sz w:val="28"/>
          <w:szCs w:val="28"/>
        </w:rPr>
        <w:t xml:space="preserve">5.4.1 Conclusion on the Primary Research Question</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primary research question asked: How can a bilingual Large Language Model be developed and validated to accurately interpret Kinyarwanda–English code-switched symptom narratives and support symptom-based malaria diagnosis and triage?</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evidence presented in this study leads to the following conclusion: a hybrid bilingual AI system that integrates multilingual transformer-based NLP with gradient-boosted classification and rule-based safety mechanisms can effectively interpret Kinyarwanda–English code-switched symptom narratives, generate probabilistically sound malaria risk estimates, and produce safety-oriented triage recommendations within a low-resource clinical context. The system's performance exceeded all quantitative targets, demonstrated clinical plausibility as assessed by domain experts, and exhibited architectural robustness under realistic error conditions. These findings establish the proof-of-concept feasibility of bilingual AI-assisted malaria triage as a technically and clinically viable direction for digital health innovation in Rwanda.</w:t>
      </w:r>
    </w:p>
    <w:p>
      <w:pPr>
        <w:pStyle w:val="Heading2"/>
        <w:spacing w:before="320" w:after="160"/>
      </w:pPr>
      <w:r>
        <w:rPr>
          <w:rFonts w:ascii="Arial" w:cs="Arial" w:eastAsia="Arial" w:hAnsi="Arial"/>
          <w:b/>
          <w:bCs/>
          <w:color w:val="000000"/>
          <w:sz w:val="28"/>
          <w:szCs w:val="28"/>
        </w:rPr>
        <w:t xml:space="preserve">5.4.2 Conclusion on Architecture: Hybrid AI over Standalone LLM</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A secondary but theoretically significant conclusion concerns the architectural choice between hybrid modular AI and end-to-end large language model deployment. The evidence from this study supports the conclusion that, within the scope of available low-resource Kinyarwanda data and within the safety requirements of a clinical diagnostic tool, a hybrid mBERT + XGBoost architecture outperforms a standalone LLM approach in terms of interpretability, safety auditability, and practical feasibility.</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This conclusion is grounded in three convergent lines of evidence: (i) the achievability of target-exceeding performance with only 450 annotated examples through transfer learning, which would be insufficient for full LLM fine-tuning; (ii) the feature-attributable, deterministic nature of XGBoost predictions, which supports clinical accountability and regulatory compliance in a way that generative LLM outputs cannot; and (iii) the theoretical consensus in hybrid CDSS literature that modular architectures provide superior safety properties in clinical settings compared to monolithic neural generation systems (Sutton et al., 2020; Kim et al., 2024). This conclusion does not preclude future LLM integration; rather, it establishes the hybrid architecture as the appropriate starting point for responsible AI deployment in this context, with LLM components to be introduced incrementally as data resources and clinical validation frameworks mature.</w:t>
      </w:r>
    </w:p>
    <w:p>
      <w:pPr>
        <w:pStyle w:val="Heading2"/>
        <w:spacing w:before="320" w:after="160"/>
      </w:pPr>
      <w:r>
        <w:rPr>
          <w:rFonts w:ascii="Arial" w:cs="Arial" w:eastAsia="Arial" w:hAnsi="Arial"/>
          <w:b/>
          <w:bCs/>
          <w:color w:val="000000"/>
          <w:sz w:val="28"/>
          <w:szCs w:val="28"/>
        </w:rPr>
        <w:t xml:space="preserve">5.4.3 Conclusion on Multilingual NLP Feasibility in Low-Resource Healthcare</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A further conclusion with broader implications for the field concerns the general feasibility of multilingual NLP in low-resource African healthcare settings. This study demonstrates that pre-trained multilingual transformer models, when fine-tuned with modest annotated datasets and augmented with domain-specific lexical normalization, can achieve clinically meaningful performance on medical NER tasks in low-resource code-switching environments. This finding challenges the implicit assumption that AI-based diagnostic NLP is exclusively viable in high-resource, monolingual settings, and contributes empirical evidence to the emerging literature on equitable AI deployment in global health (Nekoto et al., 2020; Mutabazi et al., 2021).</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Critically, however, this study also reveals the structural limitations of current multilingual models in handling Kinyarwanda morphology: subword fragmentation and context-dependent polysemy errors are not resolvable through fine-tuning alone and require investment in language-specific pre-training resources. The conclusion is therefore nuanced: feasibility is demonstrated under proof-of-concept conditions, but clinical-grade performance will require dedicated Kinyarwanda language technology infrastructure that does not yet exist at sufficient scale.</w:t>
      </w:r>
    </w:p>
    <w:p>
      <w:pPr>
        <w:pStyle w:val="Heading2"/>
        <w:spacing w:before="320" w:after="160"/>
      </w:pPr>
      <w:r>
        <w:rPr>
          <w:rFonts w:ascii="Arial" w:cs="Arial" w:eastAsia="Arial" w:hAnsi="Arial"/>
          <w:b/>
          <w:bCs/>
          <w:color w:val="000000"/>
          <w:sz w:val="28"/>
          <w:szCs w:val="28"/>
        </w:rPr>
        <w:t xml:space="preserve">5.4.4 Conclusion on Clinical Safety and Responsible Deployment</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study concludes that the proposed system exhibits a safety profile appropriate for a preliminary triage support tool, as defined in the scope of Section 1.5. The prevalence-adjusted NPV of 0.96 provides a strong basis for safe de-prioritization of malaria in appropriate clinical contexts. The symmetric confusion matrix confirms the absence of systematic under-diagnosis of malaria — the most dangerous failure mode in an endemic setting. The confidence-gated referral protocol ensures that uncertain predictions — regardless of direction — are escalated to clinical confirmation rather than acted upon autonomously.</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study further concludes that these properties are necessary but not sufficient conditions for clinical deployment. Prospective validation with real patient data, integration within existing community health worker workflows, adversarial robustness testing, and regulatory review remain as essential preconditions for responsible deployment — prerequisites that are beyond the scope of this Master's-level proof-of-concept study but constitute the logical next phase of the research programme initiated here.</w:t>
      </w:r>
    </w:p>
    <w:p>
      <w:pPr>
        <w:pStyle w:val="Heading1"/>
        <w:spacing w:before="480" w:after="240"/>
      </w:pPr>
      <w:r>
        <w:rPr>
          <w:rFonts w:ascii="Arial" w:cs="Arial" w:eastAsia="Arial" w:hAnsi="Arial"/>
          <w:b/>
          <w:bCs/>
          <w:color w:val="000000"/>
          <w:sz w:val="32"/>
          <w:szCs w:val="32"/>
        </w:rPr>
        <w:t xml:space="preserve">5.5 Contributions of the Study</w:t>
      </w:r>
    </w:p>
    <w:p>
      <w:pPr>
        <w:pStyle w:val="Heading2"/>
        <w:spacing w:before="320" w:after="160"/>
      </w:pPr>
      <w:r>
        <w:rPr>
          <w:rFonts w:ascii="Arial" w:cs="Arial" w:eastAsia="Arial" w:hAnsi="Arial"/>
          <w:b/>
          <w:bCs/>
          <w:color w:val="000000"/>
          <w:sz w:val="28"/>
          <w:szCs w:val="28"/>
        </w:rPr>
        <w:t xml:space="preserve">5.5.1 Theoretical Contributions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This study makes several original contributions to theory at the intersection of multilingual NLP, clinical decision support systems, and global health informatics.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First, it provides one of the first empirical demonstrations of Kinyarwanda–English code-switching NLP applied to a medical symptom extraction task, establishing a baseline performance reference against which future systems can be compared. The BIO-tagged annotation scheme and normalization dictionary developed in this study constitute replicable methodological resources for subsequent research in this domain.</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Second, the study extends hybrid CDSS theory by empirically characterising the cascading error dynamics in a sequential NLP-ML pipeline — an analysis dimension not commonly reported in prior comparable systems. The graceful degradation finding contributes evidence for the resilience advantages of modular over monolithic clinical AI architectures.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Third, the study contributes to the discourse on LLM deployment in low-resource healthcare by providing a theoretically grounded and empirically supported rationale for prioritizing hybrid over end-to-end architectures as an entry point for responsible AI in clinical settings with limited annotated data and strong safety requirements.</w:t>
      </w:r>
    </w:p>
    <w:p>
      <w:pPr>
        <w:pStyle w:val="Heading2"/>
        <w:spacing w:before="320" w:after="160"/>
      </w:pPr>
      <w:r>
        <w:rPr>
          <w:rFonts w:ascii="Arial" w:cs="Arial" w:eastAsia="Arial" w:hAnsi="Arial"/>
          <w:b/>
          <w:bCs/>
          <w:color w:val="000000"/>
          <w:sz w:val="28"/>
          <w:szCs w:val="28"/>
        </w:rPr>
        <w:t xml:space="preserve">5.5.2 Methodological Contributions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study contributes a validated multi-stage evaluation methodology for hybrid bilingual clinical NLP systems, combining held-out test evaluation, five-fold cross-validation, cascading error analysis, prevalence-adjusted performance estimation, and expert plausibility review within a single coherent framework. This methodology offers a replicable template for future studies developing AI diagnostic tools in low-resource multilingual settings.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synthetic dataset construction protocol — grounded in clinical guidelines, informed by linguistic analysis of code-switching patterns, and validated through expert review with documented inter-rater reliability — provides a methodological model for generating training data in settings where patient-identifiable clinical data is unavailable or ethically inaccessible.</w:t>
      </w:r>
    </w:p>
    <w:p>
      <w:pPr>
        <w:pStyle w:val="Heading2"/>
        <w:spacing w:before="320" w:after="160"/>
      </w:pPr>
      <w:r>
        <w:rPr>
          <w:rFonts w:ascii="Arial" w:cs="Arial" w:eastAsia="Arial" w:hAnsi="Arial"/>
          <w:b/>
          <w:bCs/>
          <w:color w:val="000000"/>
          <w:sz w:val="28"/>
          <w:szCs w:val="28"/>
        </w:rPr>
        <w:t xml:space="preserve">5.5.3 Practical Contributions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At the practical level, the study delivers a functional proof-of-concept web application demonstrating real-time bilingual symptom assessment and malaria triage — the first such system documented in the academic literature for the Kinyarwanda–English context. This artifact provides a concrete technological foundation for collaboration with Rwanda's digital health ecosystem, including the Rwanda Biomedical Centre and the Ministry of Health's e-health and telemedicine initiatives.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comparative analysis (Table 4.12, Chapter Four) provides health technology assessment evidence for Rwandan policy makers evaluating AI-based triage tools, establishing that existing commercial platforms — while technically sophisticated — lack the linguistic and epidemiological contextualisation necessary for effective deployment in Rwanda's primary healthcare setting.</w:t>
      </w:r>
    </w:p>
    <w:p>
      <w:pPr>
        <w:pStyle w:val="Heading1"/>
        <w:spacing w:before="480" w:after="240"/>
      </w:pPr>
      <w:r>
        <w:rPr>
          <w:rFonts w:ascii="Arial" w:cs="Arial" w:eastAsia="Arial" w:hAnsi="Arial"/>
          <w:b/>
          <w:bCs/>
          <w:color w:val="000000"/>
          <w:sz w:val="32"/>
          <w:szCs w:val="32"/>
        </w:rPr>
        <w:t xml:space="preserve">5.6 Recommendations</w:t>
      </w:r>
    </w:p>
    <w:p>
      <w:pPr>
        <w:pStyle w:val="Heading2"/>
        <w:spacing w:before="320" w:after="160"/>
      </w:pPr>
      <w:r>
        <w:rPr>
          <w:rFonts w:ascii="Arial" w:cs="Arial" w:eastAsia="Arial" w:hAnsi="Arial"/>
          <w:b/>
          <w:bCs/>
          <w:color w:val="000000"/>
          <w:sz w:val="28"/>
          <w:szCs w:val="28"/>
        </w:rPr>
        <w:t xml:space="preserve">5.6.1 Recommendations for Academic Researchers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Based on the findings and limitations of this study, the following recommendations are directed at researchers working in multilingual clinical NLP, global health AI, and related fields:</w:t>
      </w:r>
    </w:p>
    <w:p>
      <w:pPr>
        <w:pStyle w:val="ListParagraph"/>
        <w:numPr>
          <w:ilvl w:val="0"/>
          <w:numId w:val="2"/>
        </w:numPr>
        <w:spacing w:before="100" w:after="100" w:line="320"/>
      </w:pPr>
      <w:r>
        <w:rPr>
          <w:rFonts w:ascii="Times New Roman" w:cs="Times New Roman" w:eastAsia="Times New Roman" w:hAnsi="Times New Roman"/>
          <w:sz w:val="24"/>
          <w:szCs w:val="24"/>
        </w:rPr>
        <w:t xml:space="preserve">Prioritize the development of annotated Kinyarwanda medical NLP corpora: The most impactful single investment for advancing clinical AI in Rwanda is the creation of publicly available, ethically curated annotated datasets of patient-reported symptom descriptions in Kinyarwanda, English, and code-switched form. Community-participatory annotation approaches (Nekoto et al., 2020) offer a scalable, linguistically validated methodology for this effort.</w:t>
      </w:r>
    </w:p>
    <w:p>
      <w:pPr>
        <w:pStyle w:val="ListParagraph"/>
        <w:numPr>
          <w:ilvl w:val="0"/>
          <w:numId w:val="2"/>
        </w:numPr>
        <w:spacing w:before="100" w:after="100" w:line="320"/>
      </w:pPr>
      <w:r>
        <w:rPr>
          <w:rFonts w:ascii="Times New Roman" w:cs="Times New Roman" w:eastAsia="Times New Roman" w:hAnsi="Times New Roman"/>
          <w:sz w:val="24"/>
          <w:szCs w:val="24"/>
        </w:rPr>
        <w:t xml:space="preserve">Investigate discourse-level NER models for morphologically rich languages: The context-dependent polysemy errors documented in this study cannot be resolved at the token level. Future research should evaluate models that incorporate sentence-level or discourse-level contextual representations — such as long-context transformer variants — to improve disambiguation of semantically ambiguous Kinyarwanda medical expressions.</w:t>
      </w:r>
    </w:p>
    <w:p>
      <w:pPr>
        <w:pStyle w:val="ListParagraph"/>
        <w:numPr>
          <w:ilvl w:val="0"/>
          <w:numId w:val="2"/>
        </w:numPr>
        <w:spacing w:before="100" w:after="100" w:line="320"/>
      </w:pPr>
      <w:r>
        <w:rPr>
          <w:rFonts w:ascii="Times New Roman" w:cs="Times New Roman" w:eastAsia="Times New Roman" w:hAnsi="Times New Roman"/>
          <w:sz w:val="24"/>
          <w:szCs w:val="24"/>
        </w:rPr>
        <w:t xml:space="preserve">Develop standardized evaluation protocols for code-switching NLP in healthcare: The field currently lacks agreed benchmarks for evaluating NLP performance on clinical code-switched text. Developing shared evaluation datasets, baseline models, and reporting standards would substantially accelerate progress across research groups working in this space.</w:t>
      </w:r>
    </w:p>
    <w:p>
      <w:pPr>
        <w:pStyle w:val="ListParagraph"/>
        <w:numPr>
          <w:ilvl w:val="0"/>
          <w:numId w:val="2"/>
        </w:numPr>
        <w:spacing w:before="100" w:after="100" w:line="320"/>
      </w:pPr>
      <w:r>
        <w:rPr>
          <w:rFonts w:ascii="Times New Roman" w:cs="Times New Roman" w:eastAsia="Times New Roman" w:hAnsi="Times New Roman"/>
          <w:sz w:val="24"/>
          <w:szCs w:val="24"/>
        </w:rPr>
        <w:t xml:space="preserve">Conduct comparative LLM fine-tuning studies with matched evaluation: Future research should systematically compare hybrid architectures (mBERT + structured classifier) against fully fine-tuned LLMs on identical evaluation datasets and metrics, to produce empirically grounded guidance on the performance-interpretability trade-off in different resource and safety contexts.</w:t>
      </w:r>
    </w:p>
    <w:p>
      <w:pPr>
        <w:pStyle w:val="ListParagraph"/>
        <w:numPr>
          <w:ilvl w:val="0"/>
          <w:numId w:val="2"/>
        </w:numPr>
        <w:spacing w:before="100" w:after="100" w:line="320"/>
      </w:pPr>
      <w:r>
        <w:rPr>
          <w:rFonts w:ascii="Times New Roman" w:cs="Times New Roman" w:eastAsia="Times New Roman" w:hAnsi="Times New Roman"/>
          <w:sz w:val="24"/>
          <w:szCs w:val="24"/>
        </w:rPr>
        <w:t xml:space="preserve">Integrate patient outcome data into evaluation frameworks: Performance metrics such as accuracy and F1-score do not capture clinical impact. Future studies should link AI system performance to measurable patient outcome indicators — such as time-to-treatment, appropriate referral rates, and antimalarial treatment appropriateness — to generate clinically meaningful evidence for health system decision makers.</w:t>
      </w:r>
    </w:p>
    <w:p>
      <w:pPr>
        <w:pStyle w:val="Heading2"/>
        <w:spacing w:before="320" w:after="160"/>
      </w:pPr>
      <w:r>
        <w:rPr>
          <w:rFonts w:ascii="Arial" w:cs="Arial" w:eastAsia="Arial" w:hAnsi="Arial"/>
          <w:b/>
          <w:bCs/>
          <w:color w:val="000000"/>
          <w:sz w:val="28"/>
          <w:szCs w:val="28"/>
        </w:rPr>
        <w:t xml:space="preserve">5.6.2 Recommendations for Healthcare Policy Makers and System Planners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following recommendations are directed at Rwanda's Ministry of Health, the Rwanda Biomedical Centre, and regional health technology policy bodies:</w:t>
      </w:r>
    </w:p>
    <w:p>
      <w:pPr>
        <w:pStyle w:val="ListParagraph"/>
        <w:numPr>
          <w:ilvl w:val="0"/>
          <w:numId w:val="2"/>
        </w:numPr>
        <w:spacing w:before="100" w:after="100" w:line="320"/>
      </w:pPr>
      <w:r>
        <w:rPr>
          <w:rFonts w:ascii="Times New Roman" w:cs="Times New Roman" w:eastAsia="Times New Roman" w:hAnsi="Times New Roman"/>
          <w:sz w:val="24"/>
          <w:szCs w:val="24"/>
        </w:rPr>
        <w:t xml:space="preserve">Establish a national clinical NLP data governance framework: Rwanda's national digital health strategy should include provisions for the ethical collection, storage, anonymization, and sharing of clinical text data in Kinyarwanda and English for AI research purposes. A national data trust or health data collaborative — analogous to models in the United Kingdom (NHS Digital) and Kenya (KEMRI) — would create a sustainable foundation for clinical AI development.</w:t>
      </w:r>
    </w:p>
    <w:p>
      <w:pPr>
        <w:pStyle w:val="ListParagraph"/>
        <w:numPr>
          <w:ilvl w:val="0"/>
          <w:numId w:val="2"/>
        </w:numPr>
        <w:spacing w:before="100" w:after="100" w:line="320"/>
      </w:pPr>
      <w:r>
        <w:rPr>
          <w:rFonts w:ascii="Times New Roman" w:cs="Times New Roman" w:eastAsia="Times New Roman" w:hAnsi="Times New Roman"/>
          <w:sz w:val="24"/>
          <w:szCs w:val="24"/>
        </w:rPr>
        <w:t xml:space="preserve">Integrate AI triage support into community health worker programmes: The proposed system's design — optimized for low-bandwidth web interaction, supporting bilingual input, and producing simple confidence-graduated outputs — is directly aligned with Rwanda's community health worker (Abakarani ba Mbonera) deployment context. Piloting the system within community health worker workflows would provide ecologically valid performance data and inform iterative development.</w:t>
      </w:r>
    </w:p>
    <w:p>
      <w:pPr>
        <w:pStyle w:val="ListParagraph"/>
        <w:numPr>
          <w:ilvl w:val="0"/>
          <w:numId w:val="2"/>
        </w:numPr>
        <w:spacing w:before="100" w:after="100" w:line="320"/>
      </w:pPr>
      <w:r>
        <w:rPr>
          <w:rFonts w:ascii="Times New Roman" w:cs="Times New Roman" w:eastAsia="Times New Roman" w:hAnsi="Times New Roman"/>
          <w:sz w:val="24"/>
          <w:szCs w:val="24"/>
        </w:rPr>
        <w:t xml:space="preserve">Adopt prevalence-adjusted performance requirements in AI procurement standards: AI diagnostic tools procured for Rwandan healthcare settings should be evaluated against locally calibrated epidemiological performance metrics — including prevalence-adjusted PPV and NPV — rather than aggregate accuracy alone. This study provides a methodological template for such evaluations.</w:t>
      </w:r>
    </w:p>
    <w:p>
      <w:pPr>
        <w:pStyle w:val="ListParagraph"/>
        <w:numPr>
          <w:ilvl w:val="0"/>
          <w:numId w:val="2"/>
        </w:numPr>
        <w:spacing w:before="100" w:after="100" w:line="320"/>
      </w:pPr>
      <w:r>
        <w:rPr>
          <w:rFonts w:ascii="Times New Roman" w:cs="Times New Roman" w:eastAsia="Times New Roman" w:hAnsi="Times New Roman"/>
          <w:sz w:val="24"/>
          <w:szCs w:val="24"/>
        </w:rPr>
        <w:t xml:space="preserve">Invest in Kinyarwanda language technology infrastructure: The structural limitations of current multilingual models in handling Kinyarwanda morphology will constrain the performance ceiling of all AI systems operating in this language until dedicated language model pre-training resources are available. A national investment in Kinyarwanda NLP infrastructure — analogous to investments made in Swahili and Amharic in Kenya and Ethiopia respectively — would generate compounding returns across health, education, government, and commerce.</w:t>
      </w:r>
    </w:p>
    <w:p>
      <w:pPr>
        <w:pStyle w:val="Heading2"/>
        <w:spacing w:before="320" w:after="160"/>
      </w:pPr>
      <w:r>
        <w:rPr>
          <w:rFonts w:ascii="Arial" w:cs="Arial" w:eastAsia="Arial" w:hAnsi="Arial"/>
          <w:b/>
          <w:bCs/>
          <w:color w:val="000000"/>
          <w:sz w:val="28"/>
          <w:szCs w:val="28"/>
        </w:rPr>
        <w:t xml:space="preserve">5.6.3 Recommendations for Technology Developers and Engineers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For developers building on the foundations of this study, the following technical recommendations are advanced:</w:t>
      </w:r>
    </w:p>
    <w:p>
      <w:pPr>
        <w:pStyle w:val="ListParagraph"/>
        <w:numPr>
          <w:ilvl w:val="0"/>
          <w:numId w:val="2"/>
        </w:numPr>
        <w:spacing w:before="100" w:after="100" w:line="320"/>
      </w:pPr>
      <w:r>
        <w:rPr>
          <w:rFonts w:ascii="Times New Roman" w:cs="Times New Roman" w:eastAsia="Times New Roman" w:hAnsi="Times New Roman"/>
          <w:sz w:val="24"/>
          <w:szCs w:val="24"/>
        </w:rPr>
        <w:t xml:space="preserve">Implement Kinyarwanda morphological pre-processing as a dedicated pipeline stage: Prior to mBERT tokenization, a morphological analyser that decomposes Kinyarwanda words into their constituent stems and affixes — and maps these to the model vocabulary — would substantially reduce subword fragmentation errors and improve token-level embedding quality.</w:t>
      </w:r>
    </w:p>
    <w:p>
      <w:pPr>
        <w:pStyle w:val="ListParagraph"/>
        <w:numPr>
          <w:ilvl w:val="0"/>
          <w:numId w:val="2"/>
        </w:numPr>
        <w:spacing w:before="100" w:after="100" w:line="320"/>
      </w:pPr>
      <w:r>
        <w:rPr>
          <w:rFonts w:ascii="Times New Roman" w:cs="Times New Roman" w:eastAsia="Times New Roman" w:hAnsi="Times New Roman"/>
          <w:sz w:val="24"/>
          <w:szCs w:val="24"/>
        </w:rPr>
        <w:t xml:space="preserve">Design confidence calibration mechanisms for the XGBoost classifier: The current confidence threshold (0.70) for triggering the referral protocol was set based on cross-validation performance. Future deployments should implement temperature scaling or isotonic regression calibration to ensure that predicted confidence scores are statistically well-calibrated probability estimates, not simply raw model outputs.</w:t>
      </w:r>
    </w:p>
    <w:p>
      <w:pPr>
        <w:pStyle w:val="ListParagraph"/>
        <w:numPr>
          <w:ilvl w:val="0"/>
          <w:numId w:val="2"/>
        </w:numPr>
        <w:spacing w:before="100" w:after="100" w:line="320"/>
      </w:pPr>
      <w:r>
        <w:rPr>
          <w:rFonts w:ascii="Times New Roman" w:cs="Times New Roman" w:eastAsia="Times New Roman" w:hAnsi="Times New Roman"/>
          <w:sz w:val="24"/>
          <w:szCs w:val="24"/>
        </w:rPr>
        <w:t xml:space="preserve">Build for offline-first interaction: In community-level healthcare settings in Rwanda, internet connectivity may be intermittent. The system architecture should be extended to support offline inference using compressed model variants (e.g., DistilmBERT for NER and a quantized XGBoost model for classification), with asynchronous synchronization when connectivity is restored.</w:t>
      </w:r>
    </w:p>
    <w:p>
      <w:pPr>
        <w:pStyle w:val="ListParagraph"/>
        <w:numPr>
          <w:ilvl w:val="0"/>
          <w:numId w:val="2"/>
        </w:numPr>
        <w:spacing w:before="100" w:after="100" w:line="320"/>
      </w:pPr>
      <w:r>
        <w:rPr>
          <w:rFonts w:ascii="Times New Roman" w:cs="Times New Roman" w:eastAsia="Times New Roman" w:hAnsi="Times New Roman"/>
          <w:sz w:val="24"/>
          <w:szCs w:val="24"/>
        </w:rPr>
        <w:t xml:space="preserve">Implement comprehensive logging and monitoring from day one: Any deployment should include logging of input characteristics, prediction confidence distributions, triage decisions, and user interaction patterns. This data will be essential for detecting distributional shift, identifying failure modes in real-world conditions, and supporting model retraining cycles.</w:t>
      </w:r>
    </w:p>
    <w:p>
      <w:pPr>
        <w:pStyle w:val="Heading2"/>
        <w:spacing w:before="320" w:after="160"/>
      </w:pPr>
      <w:r>
        <w:rPr>
          <w:rFonts w:ascii="Arial" w:cs="Arial" w:eastAsia="Arial" w:hAnsi="Arial"/>
          <w:b/>
          <w:bCs/>
          <w:color w:val="000000"/>
          <w:sz w:val="28"/>
          <w:szCs w:val="28"/>
        </w:rPr>
        <w:t xml:space="preserve">5.6.4 Recommendations for Healthcare Practitioners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For clinicians, nurses, and community health workers who may interact with or be supported by systems of this type, the following practice-level recommendations are offered:</w:t>
      </w:r>
    </w:p>
    <w:p>
      <w:pPr>
        <w:pStyle w:val="ListParagraph"/>
        <w:numPr>
          <w:ilvl w:val="0"/>
          <w:numId w:val="2"/>
        </w:numPr>
        <w:spacing w:before="100" w:after="100" w:line="320"/>
      </w:pPr>
      <w:r>
        <w:rPr>
          <w:rFonts w:ascii="Times New Roman" w:cs="Times New Roman" w:eastAsia="Times New Roman" w:hAnsi="Times New Roman"/>
          <w:sz w:val="24"/>
          <w:szCs w:val="24"/>
        </w:rPr>
        <w:t xml:space="preserve">Treat AI triage outputs as probabilistic decision support, not diagnoses: The system is designed to support — not replace — clinical judgment. All malaria risk estimates are probabilistic and should be interpreted alongside clinical examination, patient history, and, where available, rapid diagnostic test results. AI-assisted triage is most valuable as a prioritization tool in high-volume settings, not as a substitute for clinical evaluation.</w:t>
      </w:r>
    </w:p>
    <w:p>
      <w:pPr>
        <w:pStyle w:val="ListParagraph"/>
        <w:numPr>
          <w:ilvl w:val="0"/>
          <w:numId w:val="2"/>
        </w:numPr>
        <w:spacing w:before="100" w:after="100" w:line="320"/>
      </w:pPr>
      <w:r>
        <w:rPr>
          <w:rFonts w:ascii="Times New Roman" w:cs="Times New Roman" w:eastAsia="Times New Roman" w:hAnsi="Times New Roman"/>
          <w:sz w:val="24"/>
          <w:szCs w:val="24"/>
        </w:rPr>
        <w:t xml:space="preserve">Report unexpected system behaviours systematically: Healthcare workers using AI triage tools should be equipped with simple, accessible mechanisms for flagging unexpected, implausible, or incorrect system outputs. This feedback is essential for ongoing safety monitoring and continuous improvement and should be treated as a professional obligation rather than an optional activity.</w:t>
      </w:r>
    </w:p>
    <w:p>
      <w:pPr>
        <w:pStyle w:val="ListParagraph"/>
        <w:numPr>
          <w:ilvl w:val="0"/>
          <w:numId w:val="2"/>
        </w:numPr>
        <w:spacing w:before="100" w:after="100" w:line="320"/>
      </w:pPr>
      <w:r>
        <w:rPr>
          <w:rFonts w:ascii="Times New Roman" w:cs="Times New Roman" w:eastAsia="Times New Roman" w:hAnsi="Times New Roman"/>
          <w:sz w:val="24"/>
          <w:szCs w:val="24"/>
        </w:rPr>
        <w:t xml:space="preserve">Maintain awareness of the system's current disease scope: The current system is designed exclusively for malaria–flu differential triage. Practitioners should be clearly informed that symptom presentations suggestive of other conditions — including typhoid, meningitis, or sepsis — fall outside the system's validated operating scope and require immediate clinical evaluation independent of any AI output.</w:t>
      </w:r>
    </w:p>
    <w:p>
      <w:pPr>
        <w:pStyle w:val="Heading1"/>
        <w:spacing w:before="480" w:after="240"/>
      </w:pPr>
      <w:r>
        <w:rPr>
          <w:rFonts w:ascii="Arial" w:cs="Arial" w:eastAsia="Arial" w:hAnsi="Arial"/>
          <w:b/>
          <w:bCs/>
          <w:color w:val="000000"/>
          <w:sz w:val="32"/>
          <w:szCs w:val="32"/>
        </w:rPr>
        <w:t xml:space="preserve">5.7 Limitations Revisited</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limitations of this study have been discussed in detail in Section 4.7 of Chapter Four and are briefly restated here in the interest of completeness and transparent scholarly communication. The primary limitations are: (i) reliance on a synthetic rather than clinically collected dataset, constraining ecological validity; (ii) the binary disease scope of the classification model, limiting clinical breadth; (iii) the absence of prospective validation with real patient populations and health outcome data; (iv) the mBERT tokenizer's structural limitations in handling Kinyarwanda morphology; and (v) the absence of adversarial robustness testing and longitudinal performance monitoring evaluation.</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These limitations do not invalidate the study's contributions or conclusions within the defined scope of proof-of-concept validation. They do, however, delineate the conditions under which the findings may be appropriately generalized and identify the specific investments required before the system could responsibly be considered for clinical deployment.</w:t>
      </w:r>
    </w:p>
    <w:p>
      <w:pPr>
        <w:pStyle w:val="Heading1"/>
        <w:spacing w:before="480" w:after="240"/>
      </w:pPr>
      <w:r>
        <w:rPr>
          <w:rFonts w:ascii="Arial" w:cs="Arial" w:eastAsia="Arial" w:hAnsi="Arial"/>
          <w:b/>
          <w:bCs/>
          <w:color w:val="000000"/>
          <w:sz w:val="32"/>
          <w:szCs w:val="32"/>
        </w:rPr>
        <w:t xml:space="preserve">5.8 Future Research Agenda</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This study opens several productive lines of inquiry. Building on the research programme initiated here, the following prioritized agenda is proposed, ordered from the most immediately actionable to the most resource-intensive:</w:t>
      </w:r>
    </w:p>
    <w:p>
      <w:pPr>
        <w:spacing w:before="60" w:after="60"/>
      </w:pPr>
      <w:r>
        <w:t xml:space="preserve"/>
      </w:r>
    </w:p>
    <w:p>
      <w:pPr>
        <w:spacing w:before="160" w:after="100"/>
        <w:jc w:val="center"/>
      </w:pPr>
      <w:r>
        <w:rPr>
          <w:rFonts w:ascii="Times New Roman" w:cs="Times New Roman" w:eastAsia="Times New Roman" w:hAnsi="Times New Roman"/>
          <w:i/>
          <w:iCs/>
          <w:color w:val="333333"/>
          <w:sz w:val="22"/>
          <w:szCs w:val="22"/>
        </w:rPr>
        <w:t xml:space="preserve">Table 5.2: Prioritized Future Research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700"/>
        <w:gridCol w:w="1560"/>
      </w:tblGrid>
      <w:tr>
        <w:trPr>
          <w:tblHeader/>
        </w:trPr>
        <w:tc>
          <w:tcPr>
            <w:tcW w:type="dxa" w:w="13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27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Research Direction</w:t>
            </w:r>
          </w:p>
        </w:tc>
        <w:tc>
          <w:tcPr>
            <w:tcW w:type="dxa" w:w="27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Deliverable</w:t>
            </w:r>
          </w:p>
        </w:tc>
        <w:tc>
          <w:tcPr>
            <w:tcW w:type="dxa" w:w="156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 Horizon</w:t>
            </w:r>
          </w:p>
        </w:tc>
      </w:tr>
      <w:tr>
        <w:tc>
          <w:tcPr>
            <w:tcW w:type="dxa" w:w="13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1 — High</w:t>
            </w:r>
          </w:p>
        </w:tc>
        <w:tc>
          <w:tcPr>
            <w:tcW w:type="dxa" w:w="27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Prospective clinical data collection and annotated corpus construction (Kinyarwanda–English, malaria-related)</w:t>
            </w:r>
          </w:p>
        </w:tc>
        <w:tc>
          <w:tcPr>
            <w:tcW w:type="dxa" w:w="27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Validated clinical corpus of ≥ 1,500 records for model re-training and prospective evaluation</w:t>
            </w:r>
          </w:p>
        </w:tc>
        <w:tc>
          <w:tcPr>
            <w:tcW w:type="dxa" w:w="156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1–2 years</w:t>
            </w:r>
          </w:p>
        </w:tc>
      </w:tr>
      <w:tr>
        <w:tc>
          <w:tcPr>
            <w:tcW w:type="dxa" w:w="1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2 — High</w:t>
            </w:r>
          </w:p>
        </w:tc>
        <w:tc>
          <w:tcPr>
            <w:tcW w:type="dxa" w:w="27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Multi-disease classification extension (malaria, flu, typhoid, UTI, sepsis) with Rwanda-calibrated prevalence weighting</w:t>
            </w:r>
          </w:p>
        </w:tc>
        <w:tc>
          <w:tcPr>
            <w:tcW w:type="dxa" w:w="27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Multi-class classifier with ≥ 5 disease categories and epidemiologically calibrated performance metrics</w:t>
            </w:r>
          </w:p>
        </w:tc>
        <w:tc>
          <w:tcPr>
            <w:tcW w:type="dxa" w:w="15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1–2 years</w:t>
            </w:r>
          </w:p>
        </w:tc>
      </w:tr>
      <w:tr>
        <w:tc>
          <w:tcPr>
            <w:tcW w:type="dxa" w:w="13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3 — High</w:t>
            </w:r>
          </w:p>
        </w:tc>
        <w:tc>
          <w:tcPr>
            <w:tcW w:type="dxa" w:w="27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Kinyarwanda-native language model pre-training or adaptation</w:t>
            </w:r>
          </w:p>
        </w:tc>
        <w:tc>
          <w:tcPr>
            <w:tcW w:type="dxa" w:w="27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Publicly available Kinyarwanda NLP model with sub-word vocabulary coverage for medical domain</w:t>
            </w:r>
          </w:p>
        </w:tc>
        <w:tc>
          <w:tcPr>
            <w:tcW w:type="dxa" w:w="156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2–3 years</w:t>
            </w:r>
          </w:p>
        </w:tc>
      </w:tr>
      <w:tr>
        <w:tc>
          <w:tcPr>
            <w:tcW w:type="dxa" w:w="1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4 — Medium</w:t>
            </w:r>
          </w:p>
        </w:tc>
        <w:tc>
          <w:tcPr>
            <w:tcW w:type="dxa" w:w="27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Full LLM fine-tuning comparative evaluation (e.g., LLaMA-3, AfroLLM) vs. mBERT + XGBoost baseline on matched datasets</w:t>
            </w:r>
          </w:p>
        </w:tc>
        <w:tc>
          <w:tcPr>
            <w:tcW w:type="dxa" w:w="27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Empirical performance-interpretability trade-off characterisation for bilingual clinical LLMs</w:t>
            </w:r>
          </w:p>
        </w:tc>
        <w:tc>
          <w:tcPr>
            <w:tcW w:type="dxa" w:w="15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2–3 years</w:t>
            </w:r>
          </w:p>
        </w:tc>
      </w:tr>
      <w:tr>
        <w:tc>
          <w:tcPr>
            <w:tcW w:type="dxa" w:w="13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5 — Medium</w:t>
            </w:r>
          </w:p>
        </w:tc>
        <w:tc>
          <w:tcPr>
            <w:tcW w:type="dxa" w:w="27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User-centred usability study with community health workers and patients in Rwanda</w:t>
            </w:r>
          </w:p>
        </w:tc>
        <w:tc>
          <w:tcPr>
            <w:tcW w:type="dxa" w:w="27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Usability evidence base informing workflow integration and interface design</w:t>
            </w:r>
          </w:p>
        </w:tc>
        <w:tc>
          <w:tcPr>
            <w:tcW w:type="dxa" w:w="156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1–2 years</w:t>
            </w:r>
          </w:p>
        </w:tc>
      </w:tr>
      <w:tr>
        <w:tc>
          <w:tcPr>
            <w:tcW w:type="dxa" w:w="1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6 — Medium</w:t>
            </w:r>
          </w:p>
        </w:tc>
        <w:tc>
          <w:tcPr>
            <w:tcW w:type="dxa" w:w="27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Adversarial robustness and safety stress testing</w:t>
            </w:r>
          </w:p>
        </w:tc>
        <w:tc>
          <w:tcPr>
            <w:tcW w:type="dxa" w:w="27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Characterised failure mode inventory and mitigation protocol</w:t>
            </w:r>
          </w:p>
        </w:tc>
        <w:tc>
          <w:tcPr>
            <w:tcW w:type="dxa" w:w="15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1 year</w:t>
            </w:r>
          </w:p>
        </w:tc>
      </w:tr>
      <w:tr>
        <w:tc>
          <w:tcPr>
            <w:tcW w:type="dxa" w:w="13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7 — Long-term</w:t>
            </w:r>
          </w:p>
        </w:tc>
        <w:tc>
          <w:tcPr>
            <w:tcW w:type="dxa" w:w="27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Randomised controlled pilot study — AI-assisted triage vs. standard care at community health centres</w:t>
            </w:r>
          </w:p>
        </w:tc>
        <w:tc>
          <w:tcPr>
            <w:tcW w:type="dxa" w:w="270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Clinical effectiveness and safety evidence for health technology assessment</w:t>
            </w:r>
          </w:p>
        </w:tc>
        <w:tc>
          <w:tcPr>
            <w:tcW w:type="dxa" w:w="1560"/>
            <w:tcBorders>
              <w:top w:val="single" w:color="AAAAAA" w:sz="1"/>
              <w:left w:val="single" w:color="AAAAAA" w:sz="1"/>
              <w:bottom w:val="single" w:color="AAAAAA" w:sz="1"/>
              <w:right w:val="single" w:color="AAAAAA" w:sz="1"/>
            </w:tcBorders>
            <w:shd w:fill="EEF4FA" w:val="clear"/>
            <w:tcMar>
              <w:top w:type="dxa" w:w="90"/>
              <w:left w:type="dxa" w:w="140"/>
              <w:bottom w:type="dxa" w:w="90"/>
              <w:right w:type="dxa" w:w="140"/>
            </w:tcMar>
            <w:vAlign w:val="center"/>
          </w:tcPr>
          <w:p>
            <w:pPr>
              <w:jc w:val="center"/>
            </w:pPr>
            <w:r>
              <w:rPr>
                <w:rFonts w:ascii="Times New Roman" w:cs="Times New Roman" w:eastAsia="Times New Roman" w:hAnsi="Times New Roman"/>
                <w:sz w:val="20"/>
                <w:szCs w:val="20"/>
              </w:rPr>
              <w:t xml:space="preserve">3–5 years</w:t>
            </w:r>
          </w:p>
        </w:tc>
      </w:tr>
    </w:tbl>
    <w:p>
      <w:pPr>
        <w:spacing w:before="60" w:after="60"/>
      </w:pPr>
      <w:r>
        <w:t xml:space="preserve"/>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research agenda outlined in Table 5.2 represents a coherent programme of work that would, if successfully executed, advance the proposed system from proof-of-concept toward clinical deployment readiness. Each priority level is designed to build on the foundations established by this study, with earlier-stage deliverables — particularly the clinical corpus (Priority 1) and multi-disease extension (Priority 2) — serving as enabling preconditions for the higher-complexity investigations that follow.</w:t>
      </w:r>
    </w:p>
    <w:p>
      <w:pPr>
        <w:pStyle w:val="Heading1"/>
        <w:spacing w:before="480" w:after="240"/>
      </w:pPr>
      <w:r>
        <w:rPr>
          <w:rFonts w:ascii="Arial" w:cs="Arial" w:eastAsia="Arial" w:hAnsi="Arial"/>
          <w:b/>
          <w:bCs/>
          <w:color w:val="000000"/>
          <w:sz w:val="32"/>
          <w:szCs w:val="32"/>
        </w:rPr>
        <w:t xml:space="preserve">5.9 Final Conclusion</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This study set out to address a consequential and underexplored challenge: the development of a bilingual AI diagnostic support system capable of interpreting the Kinyarwanda–English code-switched symptom narratives that characterize real-world healthcare communication in Rwanda, and of translating those narratives into clinically meaningful malaria risk estimates and triage recommendations.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research has demonstrated that this challenge is technically tractable. Using a hybrid architecture combining multilingual transformer-based NLP, gradient-boosted machine learning, and rule-based safety mechanisms, the study achieved symptom extraction performance (F1 = 0.81) and diagnostic classification performance (accuracy = 0.89; AUC = 0.934) that substantially exceed the minimum clinical applicability thresholds defined at the outset. The system exhibits a prevalence-adjusted negative predictive value of 0.96 — a safety-critical metric that supports its potential role as a reliable first-line triage filter. These results were obtained using modest annotated data resources and computationally accessible model architectures, demonstrating that effective clinical AI in low-resource multilingual settings does not require the scale or infrastructure typically available only in high-income research environments.</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Equally important, this study has mapped the boundaries of what has been demonstrated and what remains to be done. Proof-of-concept performance on a synthetic dataset is a necessary but far from sufficient basis for clinical deployment. The path from here to a system that can be responsibly integrated into Rwanda's healthcare delivery infrastructure is well-defined — but it requires sustained investment in clinical data infrastructure, language technology development, rigorous prospective evaluation, and meaningful engagement with the health workers and patients who would ultimately use and be affected by such a system.</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The significance of this work extends beyond its immediate technical findings. It contributes to a growing body of evidence that the global AI research community must invest in low-resource languages, localized clinical knowledge, and context-sensitive system design if the promise of AI-assisted healthcare is to be realized equitably — not only in settings where data are abundant and infrastructure is reliable, but also in the communities where the need is greatest. Rwanda's commitment to digital health transformation, its community health infrastructure, and its bilingual healthcare culture collectively position it as an ideal setting for continued innovation at this intersection.</w:t>
      </w:r>
    </w:p>
    <w:p>
      <w:pPr>
        <w:spacing w:before="120" w:after="120" w:line="360"/>
        <w:jc w:val="both"/>
      </w:pPr>
      <w:r>
        <w:rPr>
          <w:rFonts w:ascii="Times New Roman" w:cs="Times New Roman" w:eastAsia="Times New Roman" w:hAnsi="Times New Roman"/>
          <w:b w:val="false"/>
          <w:bCs w:val="false"/>
          <w:i w:val="false"/>
          <w:iCs w:val="false"/>
          <w:color w:val="000000"/>
          <w:sz w:val="24"/>
          <w:szCs w:val="24"/>
        </w:rPr>
        <w:t xml:space="preserve">It is the conclusion of this study that bilingual, context-aware, and safety-oriented AI diagnostic support is not merely a theoretical possibility for Rwanda's healthcare system — it is an achievable and worthwhile goal, and this research has taken a meaningful step toward it.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UNILAK — MIT Research | Chapter Five: Conclusions and Recommendations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2026-03-27T14:26:30.392Z</dcterms:created>
  <dcterms:modified xsi:type="dcterms:W3CDTF">2026-03-27T14:26:30.394Z</dcterms:modified>
</cp:coreProperties>
</file>

<file path=docProps/custom.xml><?xml version="1.0" encoding="utf-8"?>
<Properties xmlns="http://schemas.openxmlformats.org/officeDocument/2006/custom-properties" xmlns:vt="http://schemas.openxmlformats.org/officeDocument/2006/docPropsVTypes"/>
</file>