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D11EA">
      <w:pPr>
        <w:bidi w:val="0"/>
        <w:jc w:val="center"/>
        <w:rPr>
          <w:rFonts w:hint="default"/>
          <w:lang w:val="vi-VN"/>
        </w:rPr>
      </w:pPr>
      <w:r>
        <w:rPr>
          <w:rFonts w:hint="default"/>
          <w:lang w:val="vi-VN"/>
        </w:rPr>
        <w:t>TÀI LIỆU MÔ TẢ TÍNH NĂNG HOÀN THIỆN</w:t>
      </w:r>
    </w:p>
    <w:p w14:paraId="1882ED0D">
      <w:pPr>
        <w:pStyle w:val="6"/>
        <w:tabs>
          <w:tab w:val="right" w:leader="dot" w:pos="8306"/>
        </w:tabs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Mục lục</w:t>
      </w:r>
    </w:p>
    <w:p w14:paraId="3846A40B">
      <w:pPr>
        <w:rPr>
          <w:rFonts w:hint="default"/>
          <w:lang w:val="vi-VN"/>
        </w:rPr>
      </w:pPr>
    </w:p>
    <w:p w14:paraId="273F2833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_Toc22682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 GIỚI THIỆU</w:t>
      </w:r>
      <w:r>
        <w:rPr>
          <w:rFonts w:hint="default"/>
          <w:lang w:val="vi-VN"/>
        </w:rPr>
        <w:fldChar w:fldCharType="end"/>
      </w:r>
    </w:p>
    <w:p w14:paraId="36580D44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_Toc1330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1.1 Mục đích : Tài liệu này mô tả chi tiết yêu cầu và cách thức hoạt động của tính năng hoàn tiền trong ví điện tử PayKX.</w:t>
      </w:r>
      <w:r>
        <w:fldChar w:fldCharType="begin"/>
      </w:r>
      <w:r>
        <w:instrText xml:space="preserve"> PAGEREF _Toc1330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E0273F7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_Toc1013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1.2 Phạm vi: Áp dụng cho tất cả giao dịch thanh toán, nạp tiền và dịch vụ trên ứng dụng PayKX.</w:t>
      </w:r>
      <w:r>
        <w:tab/>
      </w:r>
      <w:r>
        <w:fldChar w:fldCharType="begin"/>
      </w:r>
      <w:r>
        <w:instrText xml:space="preserve"> PAGEREF _Toc1013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6C81938F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</w:p>
    <w:p w14:paraId="7797A13E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TOC \o "1-3" \h \u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_Toc889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 Giới thiệu tính năng</w:t>
      </w:r>
      <w:r>
        <w:tab/>
      </w:r>
      <w:r>
        <w:fldChar w:fldCharType="begin"/>
      </w:r>
      <w:r>
        <w:instrText xml:space="preserve"> PAGEREF _Toc889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23F1CB1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_Toc23134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2.1 Mô tả chung : Tính năng cho phép người dùng nhận lại tiền vào ví PayKX trong các trường hợp được chấp nhận hoàn tiền theo chính sách.</w:t>
      </w:r>
      <w:r>
        <w:tab/>
      </w:r>
      <w:r>
        <w:fldChar w:fldCharType="begin"/>
      </w:r>
      <w:r>
        <w:instrText xml:space="preserve"> PAGEREF _Toc23134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36B05AE9">
      <w:pPr>
        <w:pStyle w:val="6"/>
        <w:tabs>
          <w:tab w:val="right" w:leader="dot" w:pos="8306"/>
        </w:tabs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_Toc27719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2.2 Nguyên tắc hoạt động:</w:t>
      </w:r>
    </w:p>
    <w:p w14:paraId="74CE274E">
      <w:pPr>
        <w:pStyle w:val="6"/>
        <w:tabs>
          <w:tab w:val="right" w:leader="dot" w:pos="8306"/>
        </w:tabs>
        <w:rPr>
          <w:rFonts w:hint="default"/>
          <w:lang w:val="vi-VN"/>
        </w:rPr>
      </w:pPr>
      <w:r>
        <w:rPr>
          <w:rFonts w:hint="default"/>
          <w:lang w:val="vi-VN"/>
        </w:rPr>
        <w:t>+ Yêu cầu hoàn tiền được tạo bởi người dùng hoặc hệ thống.+ Hệ thống kiểm tra điều kiện  và thực hiện hoàn tiền hợp lệ</w:t>
      </w:r>
    </w:p>
    <w:p w14:paraId="7BCAAEC6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t>+ Tiền được hoàn được ghi vào ví PayKK và thông báo cho ngườidùng</w:t>
      </w:r>
      <w:r>
        <w:tab/>
      </w:r>
      <w:r>
        <w:fldChar w:fldCharType="begin"/>
      </w:r>
      <w:r>
        <w:instrText xml:space="preserve"> PAGEREF _Toc27719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2B52CD7C">
      <w:pPr>
        <w:pStyle w:val="6"/>
        <w:tabs>
          <w:tab w:val="right" w:leader="dot" w:pos="8306"/>
        </w:tabs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\l _Toc29232 </w:instrText>
      </w:r>
      <w:r>
        <w:rPr>
          <w:rFonts w:hint="default"/>
          <w:lang w:val="vi-VN"/>
        </w:rPr>
        <w:fldChar w:fldCharType="separate"/>
      </w:r>
      <w:r>
        <w:rPr>
          <w:rFonts w:hint="default"/>
          <w:lang w:val="vi-VN"/>
        </w:rPr>
        <w:t>3. Tổng quan nghiệp vụ</w:t>
      </w:r>
      <w:r>
        <w:fldChar w:fldCharType="begin"/>
      </w:r>
      <w:r>
        <w:instrText xml:space="preserve"> PAGEREF _Toc29232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lang w:val="vi-VN"/>
        </w:rPr>
        <w:fldChar w:fldCharType="end"/>
      </w:r>
    </w:p>
    <w:p w14:paraId="16EDECBA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end"/>
      </w:r>
      <w:r>
        <w:rPr>
          <w:rFonts w:hint="default"/>
          <w:lang w:val="vi-VN"/>
        </w:rPr>
        <w:t xml:space="preserve">3.1 Điều kiện hoàn tiền: </w:t>
      </w:r>
    </w:p>
    <w:p w14:paraId="47A4D03E">
      <w:pPr>
        <w:rPr>
          <w:rFonts w:hint="default"/>
          <w:lang w:val="vi-VN"/>
        </w:rPr>
      </w:pPr>
      <w:r>
        <w:rPr>
          <w:rFonts w:hint="default"/>
          <w:lang w:val="vi-VN"/>
        </w:rPr>
        <w:t>+ hệ thống xem xét lí do khách hàng hoàn tiền để đánh giá nênhoàn hay không+ khách hàng trên 18 tuổi 3.2 Quy trình hoàn tiền:</w:t>
      </w:r>
    </w:p>
    <w:p w14:paraId="00A68B25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+ hệ thống duyệt yêu cầu hoàn tiền của khách hàng và tiền hành hoàn tiền+ Sau khi tiền được hoàn thông báo đến cho khách hàng và lưu vào hệ thống</w:t>
      </w:r>
    </w:p>
    <w:p w14:paraId="20926428">
      <w:p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E50D6C"/>
    <w:rsid w:val="1A3C6319"/>
    <w:rsid w:val="4AE50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2026-10-26T03:37:00Z</dcterms:created>
  <dc:creator>Huy Ngô</dc:creator>
  <cp:lastModifiedBy>Huy Ngô</cp:lastModifiedBy>
  <dcterms:modified xsi:type="dcterms:W3CDTF">2026-10-26T04:36:59Z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5911D90A272A4CE3A466938F191DDF0D_11</vt:lpwstr>
  </property>
  <property fmtid="{D5CDD505-2E9C-101B-9397-08002B2CF9AE}" pid="4" name="KSOTemplateDocerSaveRecord">
    <vt:lpwstr>eyJoZGlkIjoiMGM3YjEyZDZhOTA3ODUzMDM0ZTYzZDE2NzA1M2M5MGIiLCJ1c2VySWQiOiIxMzc0NDEwMDEwMDI3In0=</vt:lpwstr>
  </property>
</Properties>
</file>