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2B7229" w:rsidP="001920A4">
      <w:pPr>
        <w:tabs>
          <w:tab w:val="left" w:pos="2160"/>
          <w:tab w:val="right" w:leader="dot" w:pos="8472"/>
        </w:tabs>
        <w:spacing w:line="240" w:lineRule="auto"/>
        <w:ind w:firstLine="360"/>
        <w:jc w:val="center"/>
        <w:rPr>
          <w:b/>
          <w:sz w:val="26"/>
          <w:szCs w:val="26"/>
          <w:lang w:val="vi-VN"/>
        </w:rPr>
      </w:pPr>
      <w:r>
        <w:rPr>
          <w:b/>
          <w:sz w:val="26"/>
          <w:szCs w:val="26"/>
        </w:rPr>
        <w:t>CÔNG TY TNHH VẬN TẢI PHÚC NGUYÊN LEGEND</w:t>
      </w:r>
    </w:p>
    <w:p w:rsidR="002C323A" w:rsidRPr="00723973" w:rsidRDefault="002672DD" w:rsidP="001920A4">
      <w:pPr>
        <w:spacing w:line="240" w:lineRule="auto"/>
        <w:ind w:firstLine="360"/>
        <w:rPr>
          <w:sz w:val="26"/>
          <w:szCs w:val="26"/>
          <w:lang w:val="vi-VN"/>
        </w:rPr>
      </w:pPr>
      <w:r w:rsidRPr="00723973">
        <w:rPr>
          <w:sz w:val="26"/>
          <w:szCs w:val="26"/>
          <w:lang w:val="vi-VN"/>
        </w:rPr>
        <w:t xml:space="preserve">Ông/Bà: </w:t>
      </w:r>
      <w:r w:rsidR="002A2924">
        <w:rPr>
          <w:b/>
          <w:sz w:val="26"/>
          <w:szCs w:val="26"/>
        </w:rPr>
        <w:t>ĐOÀN THỊ HUỲNH HƯƠNG</w:t>
      </w:r>
    </w:p>
    <w:p w:rsidR="003B53DF" w:rsidRPr="00723973" w:rsidRDefault="002C323A" w:rsidP="003B53DF">
      <w:pPr>
        <w:snapToGrid w:val="0"/>
        <w:spacing w:line="240" w:lineRule="auto"/>
        <w:ind w:firstLine="360"/>
        <w:rPr>
          <w:sz w:val="26"/>
          <w:szCs w:val="26"/>
        </w:rPr>
      </w:pPr>
      <w:r w:rsidRPr="00723973">
        <w:rPr>
          <w:sz w:val="26"/>
          <w:szCs w:val="26"/>
          <w:lang w:val="vi-VN"/>
        </w:rPr>
        <w:t xml:space="preserve">Sinh ngày: </w:t>
      </w:r>
      <w:r w:rsidR="00D3070E">
        <w:rPr>
          <w:sz w:val="26"/>
          <w:szCs w:val="26"/>
        </w:rPr>
        <w:t>11/06/1984</w:t>
      </w:r>
      <w:r w:rsidRPr="00723973">
        <w:rPr>
          <w:sz w:val="26"/>
          <w:szCs w:val="26"/>
          <w:lang w:val="vi-VN"/>
        </w:rPr>
        <w:tab/>
      </w:r>
    </w:p>
    <w:p w:rsidR="003B53DF" w:rsidRPr="00723973" w:rsidRDefault="003B53DF" w:rsidP="003B53DF">
      <w:pPr>
        <w:snapToGrid w:val="0"/>
        <w:spacing w:line="240" w:lineRule="auto"/>
        <w:ind w:firstLine="360"/>
        <w:rPr>
          <w:sz w:val="26"/>
          <w:szCs w:val="26"/>
        </w:rPr>
      </w:pPr>
      <w:r w:rsidRPr="00723973">
        <w:rPr>
          <w:sz w:val="26"/>
          <w:szCs w:val="26"/>
          <w:lang w:val="vi-VN"/>
        </w:rPr>
        <w:t xml:space="preserve">Loại giấy tờ pháp lý: </w:t>
      </w:r>
      <w:r w:rsidR="00C109EB" w:rsidRPr="00723973">
        <w:rPr>
          <w:sz w:val="26"/>
          <w:szCs w:val="26"/>
        </w:rPr>
        <w:t>Căn</w:t>
      </w:r>
      <w:r w:rsidRPr="00723973">
        <w:rPr>
          <w:sz w:val="26"/>
          <w:szCs w:val="26"/>
          <w:lang w:val="vi-VN"/>
        </w:rPr>
        <w:t xml:space="preserve"> cước công dân</w:t>
      </w:r>
      <w:r w:rsidR="00C109EB" w:rsidRPr="00723973">
        <w:rPr>
          <w:sz w:val="26"/>
          <w:szCs w:val="26"/>
        </w:rPr>
        <w:t xml:space="preserve"> </w:t>
      </w:r>
    </w:p>
    <w:p w:rsidR="00C109EB" w:rsidRPr="00723973" w:rsidRDefault="003B53DF" w:rsidP="003B53DF">
      <w:pPr>
        <w:spacing w:line="240" w:lineRule="auto"/>
        <w:ind w:firstLine="360"/>
        <w:rPr>
          <w:bCs/>
          <w:sz w:val="26"/>
          <w:szCs w:val="26"/>
          <w:lang w:val="vi-VN"/>
        </w:rPr>
      </w:pPr>
      <w:r w:rsidRPr="00723973">
        <w:rPr>
          <w:sz w:val="26"/>
          <w:szCs w:val="26"/>
          <w:lang w:val="vi-VN"/>
        </w:rPr>
        <w:t xml:space="preserve">Số giấy tờ pháp lý: </w:t>
      </w:r>
      <w:r w:rsidR="00D3070E">
        <w:rPr>
          <w:spacing w:val="-2"/>
          <w:sz w:val="26"/>
          <w:szCs w:val="26"/>
        </w:rPr>
        <w:t>087184006401</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D3070E">
        <w:rPr>
          <w:sz w:val="26"/>
          <w:szCs w:val="26"/>
          <w:lang w:val="vi"/>
        </w:rPr>
        <w:t>05/09/2022</w:t>
      </w:r>
      <w:r w:rsidRPr="00723973">
        <w:rPr>
          <w:bCs/>
          <w:sz w:val="26"/>
          <w:szCs w:val="26"/>
          <w:lang w:val="vi-VN"/>
        </w:rPr>
        <w:tab/>
      </w:r>
    </w:p>
    <w:p w:rsidR="00C109EB" w:rsidRPr="00723973" w:rsidRDefault="003B53DF" w:rsidP="001920A4">
      <w:pPr>
        <w:spacing w:line="240" w:lineRule="auto"/>
        <w:ind w:firstLine="360"/>
        <w:rPr>
          <w:sz w:val="26"/>
          <w:szCs w:val="26"/>
          <w:lang w:val="vi-VN"/>
        </w:rPr>
      </w:pPr>
      <w:r w:rsidRPr="00723973">
        <w:rPr>
          <w:sz w:val="26"/>
          <w:szCs w:val="26"/>
          <w:lang w:val="vi-VN"/>
        </w:rPr>
        <w:t xml:space="preserve">Nơi cấp: </w:t>
      </w:r>
      <w:r w:rsidR="00C109EB" w:rsidRPr="00723973">
        <w:rPr>
          <w:sz w:val="26"/>
          <w:szCs w:val="26"/>
          <w:lang w:val="vi"/>
        </w:rPr>
        <w:t>Cục cảnh sát quản lý  hành chính về trật tự xã hội</w:t>
      </w:r>
      <w:r w:rsidR="00C109EB" w:rsidRPr="00723973">
        <w:rPr>
          <w:sz w:val="26"/>
          <w:szCs w:val="26"/>
          <w:lang w:val="vi-VN"/>
        </w:rPr>
        <w:t xml:space="preserve"> </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2B7229">
        <w:rPr>
          <w:b/>
          <w:sz w:val="26"/>
          <w:szCs w:val="26"/>
        </w:rPr>
        <w:t>CÔNG TY TNHH VẬN TẢI PHÚC NGUYÊN LEGEND</w:t>
      </w:r>
      <w:r w:rsidR="00C109EB" w:rsidRPr="00723973">
        <w:rPr>
          <w:sz w:val="26"/>
          <w:szCs w:val="26"/>
          <w:lang w:val="vi-VN"/>
        </w:rPr>
        <w:t xml:space="preserve"> </w:t>
      </w:r>
      <w:r w:rsidRPr="00723973">
        <w:rPr>
          <w:sz w:val="26"/>
          <w:szCs w:val="26"/>
          <w:lang w:val="vi-VN"/>
        </w:rPr>
        <w:t xml:space="preserve">đồng ý ký tên và chấp thuận thành lập </w:t>
      </w:r>
      <w:r w:rsidR="002B7229">
        <w:rPr>
          <w:b/>
          <w:sz w:val="26"/>
          <w:szCs w:val="26"/>
        </w:rPr>
        <w:t>CÔNG TY TNHH VẬN TẢI PHÚC NGUYÊN LEGEND</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2B7229">
        <w:rPr>
          <w:b/>
          <w:sz w:val="26"/>
          <w:szCs w:val="26"/>
        </w:rPr>
        <w:t>CÔNG TY TNHH VẬN TẢI PHÚC NGUYÊN LEGEND</w:t>
      </w:r>
    </w:p>
    <w:tbl>
      <w:tblPr>
        <w:tblW w:w="5000" w:type="pct"/>
        <w:shd w:val="clear" w:color="auto" w:fill="FFFFFF"/>
        <w:tblCellMar>
          <w:left w:w="0" w:type="dxa"/>
          <w:right w:w="0" w:type="dxa"/>
        </w:tblCellMar>
        <w:tblLook w:val="04A0" w:firstRow="1" w:lastRow="0" w:firstColumn="1" w:lastColumn="0" w:noHBand="0" w:noVBand="1"/>
      </w:tblPr>
      <w:tblGrid>
        <w:gridCol w:w="8669"/>
      </w:tblGrid>
      <w:tr w:rsidR="002B7229" w:rsidRPr="002B7229" w:rsidTr="002B7229">
        <w:tc>
          <w:tcPr>
            <w:tcW w:w="0" w:type="auto"/>
            <w:tcBorders>
              <w:top w:val="nil"/>
              <w:left w:val="nil"/>
              <w:bottom w:val="nil"/>
              <w:right w:val="nil"/>
            </w:tcBorders>
            <w:shd w:val="clear" w:color="auto" w:fill="FFFFFF"/>
            <w:tcMar>
              <w:top w:w="30" w:type="dxa"/>
              <w:left w:w="45" w:type="dxa"/>
              <w:bottom w:w="0" w:type="dxa"/>
              <w:right w:w="30" w:type="dxa"/>
            </w:tcMar>
            <w:hideMark/>
          </w:tcPr>
          <w:p w:rsidR="002B7229" w:rsidRPr="002B7229" w:rsidRDefault="000B6EE8" w:rsidP="00F949AE">
            <w:pPr>
              <w:tabs>
                <w:tab w:val="left" w:leader="dot" w:pos="9072"/>
              </w:tabs>
              <w:spacing w:line="240" w:lineRule="auto"/>
              <w:ind w:firstLine="360"/>
              <w:rPr>
                <w:b/>
                <w:color w:val="1F1F1F"/>
                <w:sz w:val="26"/>
                <w:szCs w:val="26"/>
              </w:rPr>
            </w:pPr>
            <w:r w:rsidRPr="00723973">
              <w:rPr>
                <w:sz w:val="26"/>
                <w:szCs w:val="26"/>
                <w:lang w:eastAsia="zh-CN"/>
              </w:rPr>
              <w:t>Tên công ty viết bằng tiếng nước ngoài</w:t>
            </w:r>
            <w:r w:rsidR="002C323A" w:rsidRPr="00723973">
              <w:rPr>
                <w:sz w:val="26"/>
                <w:szCs w:val="26"/>
                <w:lang w:eastAsia="zh-CN"/>
              </w:rPr>
              <w:t>:</w:t>
            </w:r>
            <w:r w:rsidR="00F76215">
              <w:t xml:space="preserve"> </w:t>
            </w:r>
            <w:r w:rsidR="00656E63">
              <w:t>PHUC NGUYEN LEGEND TRANSPORT COMPANY LIMITED</w:t>
            </w:r>
          </w:p>
        </w:tc>
      </w:tr>
      <w:tr w:rsidR="002B7229" w:rsidRPr="002B7229" w:rsidTr="002B7229">
        <w:trPr>
          <w:trHeight w:val="300"/>
        </w:trPr>
        <w:tc>
          <w:tcPr>
            <w:tcW w:w="0" w:type="auto"/>
            <w:tcBorders>
              <w:top w:val="nil"/>
              <w:left w:val="nil"/>
              <w:bottom w:val="nil"/>
              <w:right w:val="nil"/>
            </w:tcBorders>
            <w:shd w:val="clear" w:color="auto" w:fill="FFFFFF"/>
            <w:tcMar>
              <w:top w:w="30" w:type="dxa"/>
              <w:left w:w="150" w:type="dxa"/>
              <w:bottom w:w="0" w:type="dxa"/>
              <w:right w:w="30" w:type="dxa"/>
            </w:tcMar>
            <w:hideMark/>
          </w:tcPr>
          <w:p w:rsidR="002B7229" w:rsidRPr="002B7229" w:rsidRDefault="002B7229" w:rsidP="002B7229">
            <w:pPr>
              <w:tabs>
                <w:tab w:val="left" w:leader="dot" w:pos="9072"/>
              </w:tabs>
              <w:spacing w:line="240" w:lineRule="auto"/>
              <w:ind w:firstLine="360"/>
              <w:rPr>
                <w:b/>
                <w:color w:val="1F1F1F"/>
                <w:sz w:val="26"/>
                <w:szCs w:val="26"/>
              </w:rPr>
            </w:pPr>
          </w:p>
        </w:tc>
      </w:tr>
    </w:tbl>
    <w:p w:rsidR="000B6EE8" w:rsidRPr="00723973" w:rsidRDefault="000B6EE8" w:rsidP="001920A4">
      <w:pPr>
        <w:tabs>
          <w:tab w:val="left" w:leader="dot" w:pos="9072"/>
        </w:tabs>
        <w:spacing w:line="240" w:lineRule="auto"/>
        <w:ind w:firstLine="360"/>
        <w:rPr>
          <w:sz w:val="26"/>
          <w:szCs w:val="26"/>
          <w:lang w:eastAsia="zh-CN"/>
        </w:rPr>
      </w:pP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xml:space="preserve">: </w:t>
      </w:r>
      <w:r w:rsidR="00C94F23" w:rsidRPr="00C94F23">
        <w:rPr>
          <w:sz w:val="26"/>
          <w:szCs w:val="26"/>
          <w:lang w:eastAsia="zh-CN"/>
        </w:rPr>
        <w:t>CTY TNHH VT PHUC NGUYEN LEGEND</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B20A90" w:rsidRDefault="00DB3F9C" w:rsidP="00B20A90">
      <w:pPr>
        <w:tabs>
          <w:tab w:val="left" w:leader="dot" w:pos="9072"/>
        </w:tabs>
        <w:spacing w:line="240" w:lineRule="auto"/>
        <w:ind w:firstLine="360"/>
        <w:rPr>
          <w:color w:val="000000"/>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002A1A">
        <w:rPr>
          <w:color w:val="000000"/>
          <w:sz w:val="26"/>
          <w:szCs w:val="26"/>
          <w:lang w:eastAsia="zh-CN"/>
        </w:rPr>
        <w:t>Số 268B/3, đường An Phú 06, Tổ 13, Khu phố 2</w:t>
      </w:r>
      <w:r w:rsidR="00FF5B2C" w:rsidRPr="00FF5B2C">
        <w:rPr>
          <w:color w:val="000000"/>
          <w:sz w:val="26"/>
          <w:szCs w:val="26"/>
          <w:lang w:eastAsia="zh-CN"/>
        </w:rPr>
        <w:t xml:space="preserve">, Phường An Phú, </w:t>
      </w:r>
      <w:r w:rsidR="003F51F5" w:rsidRPr="003F51F5">
        <w:rPr>
          <w:color w:val="000000"/>
          <w:sz w:val="26"/>
          <w:szCs w:val="26"/>
          <w:lang w:eastAsia="zh-CN"/>
        </w:rPr>
        <w:t>Thành Hồ Chí Minh</w:t>
      </w:r>
      <w:r w:rsidR="00FF5B2C" w:rsidRPr="00FF5B2C">
        <w:rPr>
          <w:color w:val="000000"/>
          <w:sz w:val="26"/>
          <w:szCs w:val="26"/>
          <w:lang w:eastAsia="zh-CN"/>
        </w:rPr>
        <w:t>, Việt Nam</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W w:w="9102" w:type="dxa"/>
        <w:tblInd w:w="108" w:type="dxa"/>
        <w:tblLayout w:type="fixed"/>
        <w:tblLook w:val="0000" w:firstRow="0" w:lastRow="0" w:firstColumn="0" w:lastColumn="0" w:noHBand="0" w:noVBand="0"/>
      </w:tblPr>
      <w:tblGrid>
        <w:gridCol w:w="1134"/>
        <w:gridCol w:w="4536"/>
        <w:gridCol w:w="3432"/>
      </w:tblGrid>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pacing w:before="120" w:line="360" w:lineRule="exact"/>
              <w:jc w:val="center"/>
              <w:rPr>
                <w:sz w:val="26"/>
                <w:szCs w:val="26"/>
                <w:lang w:eastAsia="zh-CN"/>
              </w:rPr>
            </w:pPr>
            <w:r w:rsidRPr="00260E6E">
              <w:rPr>
                <w:sz w:val="26"/>
                <w:szCs w:val="26"/>
                <w:lang w:eastAsia="zh-CN"/>
              </w:rPr>
              <w:t>STT</w:t>
            </w:r>
          </w:p>
        </w:tc>
        <w:tc>
          <w:tcPr>
            <w:tcW w:w="4536" w:type="dxa"/>
            <w:tcBorders>
              <w:top w:val="single" w:sz="4" w:space="0" w:color="000000"/>
              <w:left w:val="single" w:sz="4" w:space="0" w:color="000000"/>
              <w:bottom w:val="single" w:sz="4" w:space="0" w:color="000000"/>
            </w:tcBorders>
          </w:tcPr>
          <w:p w:rsidR="006261AA" w:rsidRPr="00260E6E" w:rsidRDefault="006261AA" w:rsidP="00710074">
            <w:pPr>
              <w:suppressAutoHyphens/>
              <w:spacing w:before="120" w:line="360" w:lineRule="exact"/>
              <w:jc w:val="center"/>
              <w:rPr>
                <w:sz w:val="26"/>
                <w:szCs w:val="26"/>
                <w:lang w:eastAsia="zh-CN"/>
              </w:rPr>
            </w:pPr>
            <w:r w:rsidRPr="00260E6E">
              <w:rPr>
                <w:sz w:val="26"/>
                <w:szCs w:val="26"/>
                <w:lang w:eastAsia="zh-CN"/>
              </w:rPr>
              <w:t>Tên ngành</w:t>
            </w: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pacing w:before="120" w:line="360" w:lineRule="exact"/>
              <w:jc w:val="center"/>
              <w:rPr>
                <w:sz w:val="26"/>
                <w:szCs w:val="26"/>
                <w:lang w:eastAsia="zh-CN"/>
              </w:rPr>
            </w:pPr>
            <w:r w:rsidRPr="00260E6E">
              <w:rPr>
                <w:sz w:val="26"/>
                <w:szCs w:val="26"/>
                <w:lang w:eastAsia="zh-CN"/>
              </w:rPr>
              <w:t>Mã ngành</w:t>
            </w:r>
          </w:p>
        </w:tc>
      </w:tr>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pacing w:before="120" w:line="360" w:lineRule="exact"/>
              <w:jc w:val="center"/>
              <w:rPr>
                <w:sz w:val="26"/>
                <w:szCs w:val="26"/>
                <w:lang w:eastAsia="zh-CN"/>
              </w:rPr>
            </w:pPr>
            <w:r w:rsidRPr="00260E6E">
              <w:rPr>
                <w:sz w:val="26"/>
                <w:szCs w:val="26"/>
                <w:lang w:eastAsia="zh-CN"/>
              </w:rPr>
              <w:t>1</w:t>
            </w:r>
          </w:p>
        </w:tc>
        <w:tc>
          <w:tcPr>
            <w:tcW w:w="4536" w:type="dxa"/>
            <w:tcBorders>
              <w:top w:val="single" w:sz="4" w:space="0" w:color="000000"/>
              <w:left w:val="single" w:sz="4" w:space="0" w:color="000000"/>
              <w:bottom w:val="single" w:sz="4" w:space="0" w:color="000000"/>
            </w:tcBorders>
          </w:tcPr>
          <w:p w:rsidR="006261AA" w:rsidRPr="00327804" w:rsidRDefault="006261AA" w:rsidP="00710074">
            <w:pPr>
              <w:suppressAutoHyphens/>
              <w:snapToGrid w:val="0"/>
              <w:spacing w:before="120" w:line="360" w:lineRule="exact"/>
              <w:rPr>
                <w:b/>
                <w:bCs/>
                <w:i/>
                <w:iCs/>
                <w:sz w:val="26"/>
                <w:szCs w:val="26"/>
                <w:lang w:eastAsia="zh-CN"/>
              </w:rPr>
            </w:pPr>
            <w:r w:rsidRPr="00327804">
              <w:rPr>
                <w:b/>
                <w:bCs/>
                <w:i/>
                <w:iCs/>
                <w:sz w:val="26"/>
                <w:szCs w:val="26"/>
                <w:lang w:eastAsia="zh-CN"/>
              </w:rPr>
              <w:t>Hoạt động dịch vụ hỗ trợ khác liên quan đến vận tải</w:t>
            </w:r>
          </w:p>
          <w:p w:rsidR="006261AA" w:rsidRPr="00327804" w:rsidRDefault="006261AA" w:rsidP="00710074">
            <w:pPr>
              <w:suppressAutoHyphens/>
              <w:snapToGrid w:val="0"/>
              <w:spacing w:before="120" w:line="360" w:lineRule="exact"/>
              <w:rPr>
                <w:sz w:val="26"/>
                <w:szCs w:val="26"/>
                <w:lang w:eastAsia="zh-CN"/>
              </w:rPr>
            </w:pPr>
            <w:r w:rsidRPr="00327804">
              <w:rPr>
                <w:sz w:val="26"/>
                <w:szCs w:val="26"/>
                <w:lang w:eastAsia="zh-CN"/>
              </w:rPr>
              <w:t>Chi tiết:</w:t>
            </w:r>
            <w:r w:rsidRPr="00327804">
              <w:rPr>
                <w:sz w:val="26"/>
                <w:szCs w:val="26"/>
                <w:lang w:eastAsia="zh-CN"/>
              </w:rPr>
              <w:tab/>
            </w:r>
            <w:r w:rsidRPr="00327804">
              <w:rPr>
                <w:sz w:val="26"/>
                <w:szCs w:val="26"/>
                <w:lang w:eastAsia="zh-CN"/>
              </w:rPr>
              <w:tab/>
            </w:r>
          </w:p>
          <w:p w:rsidR="006261AA" w:rsidRPr="00327804" w:rsidRDefault="006261AA" w:rsidP="00710074">
            <w:pPr>
              <w:suppressAutoHyphens/>
              <w:snapToGrid w:val="0"/>
              <w:spacing w:before="120" w:line="360" w:lineRule="exact"/>
              <w:rPr>
                <w:sz w:val="26"/>
                <w:szCs w:val="26"/>
                <w:lang w:eastAsia="zh-CN"/>
              </w:rPr>
            </w:pPr>
            <w:r w:rsidRPr="00327804">
              <w:rPr>
                <w:sz w:val="26"/>
                <w:szCs w:val="26"/>
                <w:lang w:eastAsia="zh-CN"/>
              </w:rPr>
              <w:t>-Gửi hàng</w:t>
            </w:r>
          </w:p>
          <w:p w:rsidR="006261AA" w:rsidRPr="00327804" w:rsidRDefault="006261AA" w:rsidP="00710074">
            <w:pPr>
              <w:suppressAutoHyphens/>
              <w:snapToGrid w:val="0"/>
              <w:spacing w:before="120" w:line="360" w:lineRule="exact"/>
              <w:rPr>
                <w:sz w:val="26"/>
                <w:szCs w:val="26"/>
                <w:lang w:eastAsia="zh-CN"/>
              </w:rPr>
            </w:pPr>
            <w:r w:rsidRPr="00327804">
              <w:rPr>
                <w:sz w:val="26"/>
                <w:szCs w:val="26"/>
                <w:lang w:eastAsia="zh-CN"/>
              </w:rPr>
              <w:t>-Giao nhận hàng hóa</w:t>
            </w:r>
          </w:p>
          <w:p w:rsidR="006261AA" w:rsidRPr="00327804" w:rsidRDefault="006261AA" w:rsidP="00710074">
            <w:pPr>
              <w:suppressAutoHyphens/>
              <w:snapToGrid w:val="0"/>
              <w:spacing w:before="120" w:line="360" w:lineRule="exact"/>
              <w:rPr>
                <w:sz w:val="26"/>
                <w:szCs w:val="26"/>
                <w:lang w:eastAsia="zh-CN"/>
              </w:rPr>
            </w:pPr>
            <w:r w:rsidRPr="00327804">
              <w:rPr>
                <w:sz w:val="26"/>
                <w:szCs w:val="26"/>
                <w:lang w:eastAsia="zh-CN"/>
              </w:rPr>
              <w:t>-Thu, phát các chứng từ vận tải và vận đơn</w:t>
            </w:r>
          </w:p>
          <w:p w:rsidR="006261AA" w:rsidRPr="00327804" w:rsidRDefault="006261AA" w:rsidP="00710074">
            <w:pPr>
              <w:suppressAutoHyphens/>
              <w:snapToGrid w:val="0"/>
              <w:spacing w:before="120" w:line="360" w:lineRule="exact"/>
              <w:rPr>
                <w:sz w:val="26"/>
                <w:szCs w:val="26"/>
                <w:lang w:eastAsia="zh-CN"/>
              </w:rPr>
            </w:pPr>
            <w:r w:rsidRPr="00327804">
              <w:rPr>
                <w:sz w:val="26"/>
                <w:szCs w:val="26"/>
                <w:lang w:eastAsia="zh-CN"/>
              </w:rPr>
              <w:t>-Hoạt động của đại lý làm thủ tục hải quan (chỉ được hoạt động sau khi thực hiện đầy đủ Quy định về điều kiện và hoạt động của đại lý làm thủ tục hải quan)</w:t>
            </w:r>
          </w:p>
          <w:p w:rsidR="006261AA" w:rsidRPr="00260E6E" w:rsidRDefault="006261AA" w:rsidP="00710074">
            <w:pPr>
              <w:suppressAutoHyphens/>
              <w:snapToGrid w:val="0"/>
              <w:spacing w:before="120" w:line="360" w:lineRule="exact"/>
              <w:rPr>
                <w:sz w:val="26"/>
                <w:szCs w:val="26"/>
                <w:lang w:eastAsia="zh-CN"/>
              </w:rPr>
            </w:pPr>
            <w:r w:rsidRPr="00327804">
              <w:rPr>
                <w:sz w:val="26"/>
                <w:szCs w:val="26"/>
                <w:lang w:eastAsia="zh-CN"/>
              </w:rPr>
              <w:t>-Hoạt động của các đại lý vận tải hàng hóa đường biển</w:t>
            </w:r>
            <w:r>
              <w:rPr>
                <w:sz w:val="26"/>
                <w:szCs w:val="26"/>
                <w:lang w:eastAsia="zh-CN"/>
              </w:rPr>
              <w:br/>
            </w: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327804">
              <w:rPr>
                <w:b/>
                <w:bCs/>
                <w:i/>
                <w:iCs/>
                <w:sz w:val="26"/>
                <w:szCs w:val="26"/>
                <w:lang w:eastAsia="zh-CN"/>
              </w:rPr>
              <w:t>5229(Chính)</w:t>
            </w:r>
          </w:p>
        </w:tc>
      </w:tr>
      <w:tr w:rsidR="006261AA" w:rsidRPr="00B468FD" w:rsidTr="00710074">
        <w:tc>
          <w:tcPr>
            <w:tcW w:w="1134" w:type="dxa"/>
            <w:tcBorders>
              <w:top w:val="single" w:sz="4" w:space="0" w:color="000000"/>
              <w:left w:val="single" w:sz="4" w:space="0" w:color="000000"/>
              <w:bottom w:val="single" w:sz="4" w:space="0" w:color="000000"/>
            </w:tcBorders>
          </w:tcPr>
          <w:p w:rsidR="006261AA" w:rsidRPr="00BC44BD" w:rsidRDefault="006261AA" w:rsidP="00710074">
            <w:pPr>
              <w:suppressAutoHyphens/>
              <w:snapToGrid w:val="0"/>
              <w:spacing w:before="120" w:line="360" w:lineRule="exact"/>
              <w:rPr>
                <w:sz w:val="26"/>
                <w:szCs w:val="26"/>
                <w:lang w:eastAsia="zh-CN"/>
              </w:rPr>
            </w:pPr>
            <w:r w:rsidRPr="00BC44BD">
              <w:rPr>
                <w:sz w:val="26"/>
                <w:szCs w:val="26"/>
                <w:lang w:eastAsia="zh-CN"/>
              </w:rPr>
              <w:t>2</w:t>
            </w:r>
          </w:p>
        </w:tc>
        <w:tc>
          <w:tcPr>
            <w:tcW w:w="4536" w:type="dxa"/>
            <w:tcBorders>
              <w:top w:val="single" w:sz="4" w:space="0" w:color="000000"/>
              <w:left w:val="single" w:sz="4" w:space="0" w:color="000000"/>
              <w:bottom w:val="single" w:sz="4" w:space="0" w:color="000000"/>
            </w:tcBorders>
          </w:tcPr>
          <w:p w:rsidR="006261AA" w:rsidRPr="00BC44BD" w:rsidRDefault="006261AA" w:rsidP="00710074">
            <w:pPr>
              <w:tabs>
                <w:tab w:val="right" w:leader="dot" w:pos="8472"/>
              </w:tabs>
              <w:spacing w:before="120"/>
              <w:rPr>
                <w:bCs/>
                <w:sz w:val="26"/>
                <w:szCs w:val="26"/>
              </w:rPr>
            </w:pPr>
            <w:r w:rsidRPr="00BC44BD">
              <w:rPr>
                <w:bCs/>
                <w:sz w:val="26"/>
                <w:szCs w:val="26"/>
              </w:rPr>
              <w:t>Bán buôn nông, lâm sản nguyên liệu (trừ gỗ, tre, nứa) và động vật sống</w:t>
            </w:r>
          </w:p>
          <w:p w:rsidR="006261AA" w:rsidRPr="00BC44BD" w:rsidRDefault="006261AA" w:rsidP="00710074">
            <w:pPr>
              <w:tabs>
                <w:tab w:val="right" w:leader="dot" w:pos="8472"/>
              </w:tabs>
              <w:spacing w:before="120"/>
              <w:rPr>
                <w:bCs/>
                <w:sz w:val="26"/>
                <w:szCs w:val="26"/>
              </w:rPr>
            </w:pPr>
            <w:r w:rsidRPr="00BC44BD">
              <w:rPr>
                <w:bCs/>
                <w:sz w:val="26"/>
                <w:szCs w:val="26"/>
              </w:rPr>
              <w:lastRenderedPageBreak/>
              <w:t>(trừ kinh doanh các loại thực vật, động vật hoang dã, gồm cả vật sống và các bộ phận của chúng đã được chế biến, thuộc Danh mục điều ước quốc tế mà Việt Nam là thành viên quy định và các loại thực vật, động vật nguy hiểm thuộc danh mục cấm khai thác, sử dụng)</w:t>
            </w:r>
          </w:p>
        </w:tc>
        <w:tc>
          <w:tcPr>
            <w:tcW w:w="3432" w:type="dxa"/>
            <w:tcBorders>
              <w:top w:val="single" w:sz="4" w:space="0" w:color="000000"/>
              <w:left w:val="single" w:sz="4" w:space="0" w:color="000000"/>
              <w:bottom w:val="single" w:sz="4" w:space="0" w:color="000000"/>
              <w:right w:val="single" w:sz="4" w:space="0" w:color="000000"/>
            </w:tcBorders>
          </w:tcPr>
          <w:p w:rsidR="006261AA" w:rsidRPr="00BC44BD" w:rsidRDefault="006261AA" w:rsidP="00710074">
            <w:pPr>
              <w:tabs>
                <w:tab w:val="right" w:leader="dot" w:pos="8472"/>
              </w:tabs>
              <w:spacing w:before="120"/>
              <w:rPr>
                <w:bCs/>
                <w:sz w:val="26"/>
                <w:szCs w:val="26"/>
              </w:rPr>
            </w:pPr>
            <w:r w:rsidRPr="00BC44BD">
              <w:rPr>
                <w:bCs/>
                <w:sz w:val="26"/>
                <w:szCs w:val="26"/>
              </w:rPr>
              <w:lastRenderedPageBreak/>
              <w:t>4620</w:t>
            </w:r>
          </w:p>
        </w:tc>
      </w:tr>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260E6E">
              <w:rPr>
                <w:sz w:val="26"/>
                <w:szCs w:val="26"/>
                <w:lang w:eastAsia="zh-CN"/>
              </w:rPr>
              <w:t>3</w:t>
            </w:r>
          </w:p>
        </w:tc>
        <w:tc>
          <w:tcPr>
            <w:tcW w:w="4536" w:type="dxa"/>
            <w:tcBorders>
              <w:top w:val="single" w:sz="4" w:space="0" w:color="000000"/>
              <w:left w:val="single" w:sz="4" w:space="0" w:color="000000"/>
              <w:bottom w:val="single" w:sz="4" w:space="0" w:color="000000"/>
            </w:tcBorders>
          </w:tcPr>
          <w:p w:rsidR="006261AA" w:rsidRPr="00C201D7" w:rsidRDefault="006261AA" w:rsidP="00710074">
            <w:pPr>
              <w:suppressAutoHyphens/>
              <w:snapToGrid w:val="0"/>
              <w:spacing w:before="120" w:line="360" w:lineRule="exact"/>
              <w:rPr>
                <w:sz w:val="26"/>
                <w:szCs w:val="26"/>
                <w:lang w:eastAsia="zh-CN"/>
              </w:rPr>
            </w:pPr>
            <w:r w:rsidRPr="00C201D7">
              <w:rPr>
                <w:sz w:val="26"/>
                <w:szCs w:val="26"/>
                <w:lang w:eastAsia="zh-CN"/>
              </w:rPr>
              <w:t>Bán buôn gạo, lúa mỳ, hạt ngũ cốc khác, bột mỳ</w:t>
            </w:r>
          </w:p>
          <w:p w:rsidR="006261AA" w:rsidRPr="00260E6E" w:rsidRDefault="006261AA" w:rsidP="00710074">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C201D7">
              <w:rPr>
                <w:sz w:val="26"/>
                <w:szCs w:val="26"/>
                <w:lang w:eastAsia="zh-CN"/>
              </w:rPr>
              <w:t>4631</w:t>
            </w:r>
          </w:p>
        </w:tc>
      </w:tr>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260E6E">
              <w:rPr>
                <w:sz w:val="26"/>
                <w:szCs w:val="26"/>
                <w:lang w:eastAsia="zh-CN"/>
              </w:rPr>
              <w:t>4</w:t>
            </w:r>
          </w:p>
        </w:tc>
        <w:tc>
          <w:tcPr>
            <w:tcW w:w="4536" w:type="dxa"/>
            <w:tcBorders>
              <w:top w:val="single" w:sz="4" w:space="0" w:color="000000"/>
              <w:left w:val="single" w:sz="4" w:space="0" w:color="000000"/>
              <w:bottom w:val="single" w:sz="4" w:space="0" w:color="000000"/>
            </w:tcBorders>
          </w:tcPr>
          <w:p w:rsidR="006261AA" w:rsidRPr="00C201D7" w:rsidRDefault="006261AA" w:rsidP="00710074">
            <w:pPr>
              <w:suppressAutoHyphens/>
              <w:snapToGrid w:val="0"/>
              <w:spacing w:before="120" w:line="360" w:lineRule="exact"/>
              <w:rPr>
                <w:sz w:val="26"/>
                <w:szCs w:val="26"/>
                <w:lang w:eastAsia="zh-CN"/>
              </w:rPr>
            </w:pPr>
            <w:r w:rsidRPr="00C201D7">
              <w:rPr>
                <w:sz w:val="26"/>
                <w:szCs w:val="26"/>
                <w:lang w:eastAsia="zh-CN"/>
              </w:rPr>
              <w:t>Vận tải hàng hóa bằng đường bộ</w:t>
            </w:r>
          </w:p>
          <w:p w:rsidR="006261AA" w:rsidRPr="00260E6E" w:rsidRDefault="006261AA" w:rsidP="00710074">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C201D7">
              <w:rPr>
                <w:sz w:val="26"/>
                <w:szCs w:val="26"/>
                <w:lang w:eastAsia="zh-CN"/>
              </w:rPr>
              <w:t>4933</w:t>
            </w:r>
          </w:p>
        </w:tc>
      </w:tr>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260E6E">
              <w:rPr>
                <w:sz w:val="26"/>
                <w:szCs w:val="26"/>
                <w:lang w:eastAsia="zh-CN"/>
              </w:rPr>
              <w:t>5</w:t>
            </w:r>
          </w:p>
        </w:tc>
        <w:tc>
          <w:tcPr>
            <w:tcW w:w="4536" w:type="dxa"/>
            <w:tcBorders>
              <w:top w:val="single" w:sz="4" w:space="0" w:color="000000"/>
              <w:left w:val="single" w:sz="4" w:space="0" w:color="000000"/>
              <w:bottom w:val="single" w:sz="4" w:space="0" w:color="000000"/>
            </w:tcBorders>
          </w:tcPr>
          <w:p w:rsidR="006261AA" w:rsidRPr="00C201D7" w:rsidRDefault="006261AA" w:rsidP="00710074">
            <w:pPr>
              <w:rPr>
                <w:rFonts w:eastAsia="Times New Roman"/>
                <w:color w:val="333333"/>
                <w:sz w:val="26"/>
                <w:szCs w:val="26"/>
              </w:rPr>
            </w:pPr>
            <w:r w:rsidRPr="00C201D7">
              <w:rPr>
                <w:rFonts w:eastAsia="Times New Roman"/>
                <w:color w:val="333333"/>
                <w:sz w:val="26"/>
                <w:szCs w:val="26"/>
              </w:rPr>
              <w:t>Bán buôn máy móc, thiết bị và phụ tùng máy nông nghiệp</w:t>
            </w:r>
          </w:p>
          <w:p w:rsidR="006261AA" w:rsidRPr="00260E6E" w:rsidRDefault="006261AA" w:rsidP="00710074">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C201D7">
              <w:rPr>
                <w:sz w:val="26"/>
                <w:szCs w:val="26"/>
                <w:lang w:eastAsia="zh-CN"/>
              </w:rPr>
              <w:t>4653</w:t>
            </w:r>
          </w:p>
        </w:tc>
      </w:tr>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260E6E">
              <w:rPr>
                <w:sz w:val="26"/>
                <w:szCs w:val="26"/>
                <w:lang w:eastAsia="zh-CN"/>
              </w:rPr>
              <w:t>6</w:t>
            </w:r>
          </w:p>
        </w:tc>
        <w:tc>
          <w:tcPr>
            <w:tcW w:w="4536" w:type="dxa"/>
            <w:tcBorders>
              <w:top w:val="single" w:sz="4" w:space="0" w:color="000000"/>
              <w:left w:val="single" w:sz="4" w:space="0" w:color="000000"/>
              <w:bottom w:val="single" w:sz="4" w:space="0" w:color="000000"/>
            </w:tcBorders>
          </w:tcPr>
          <w:p w:rsidR="006261AA" w:rsidRPr="00C201D7" w:rsidRDefault="006261AA" w:rsidP="00710074">
            <w:pPr>
              <w:suppressAutoHyphens/>
              <w:snapToGrid w:val="0"/>
              <w:spacing w:before="120" w:line="360" w:lineRule="exact"/>
              <w:rPr>
                <w:sz w:val="26"/>
                <w:szCs w:val="26"/>
                <w:lang w:eastAsia="zh-CN"/>
              </w:rPr>
            </w:pPr>
            <w:r w:rsidRPr="00C201D7">
              <w:rPr>
                <w:sz w:val="26"/>
                <w:szCs w:val="26"/>
                <w:lang w:eastAsia="zh-CN"/>
              </w:rPr>
              <w:t>Bán buôn đồ dùng khác cho gia đình</w:t>
            </w:r>
          </w:p>
          <w:p w:rsidR="006261AA" w:rsidRPr="00260E6E" w:rsidRDefault="006261AA" w:rsidP="00710074">
            <w:pPr>
              <w:suppressAutoHyphens/>
              <w:snapToGrid w:val="0"/>
              <w:spacing w:before="120" w:line="360" w:lineRule="exact"/>
              <w:rPr>
                <w:sz w:val="26"/>
                <w:szCs w:val="26"/>
                <w:lang w:eastAsia="zh-CN"/>
              </w:rPr>
            </w:pPr>
            <w:r w:rsidRPr="00C201D7">
              <w:rPr>
                <w:sz w:val="26"/>
                <w:szCs w:val="26"/>
                <w:lang w:eastAsia="zh-CN"/>
              </w:rPr>
              <w:t>(trừ dược phẩm)</w:t>
            </w: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C201D7">
              <w:rPr>
                <w:sz w:val="26"/>
                <w:szCs w:val="26"/>
                <w:lang w:eastAsia="zh-CN"/>
              </w:rPr>
              <w:t>4649</w:t>
            </w:r>
          </w:p>
        </w:tc>
      </w:tr>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2A2924">
        <w:rPr>
          <w:b/>
          <w:sz w:val="26"/>
          <w:szCs w:val="26"/>
        </w:rPr>
        <w:t>ĐOÀN THỊ HUỲNH HƯƠNG</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w:t>
      </w:r>
      <w:r w:rsidR="00E37DD7">
        <w:rPr>
          <w:sz w:val="26"/>
          <w:szCs w:val="26"/>
        </w:rPr>
        <w:t>ữ</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D3070E">
        <w:rPr>
          <w:sz w:val="26"/>
          <w:szCs w:val="26"/>
        </w:rPr>
        <w:t>11/06/1984</w:t>
      </w:r>
      <w:r w:rsidR="00A4243B" w:rsidRPr="00723973">
        <w:rPr>
          <w:sz w:val="26"/>
          <w:szCs w:val="26"/>
        </w:rPr>
        <w:t xml:space="preserve"> </w:t>
      </w:r>
      <w:r w:rsidR="00A4243B" w:rsidRPr="00723973">
        <w:rPr>
          <w:sz w:val="26"/>
          <w:szCs w:val="26"/>
          <w:lang w:eastAsia="zh-CN"/>
        </w:rPr>
        <w:t xml:space="preserve"> </w:t>
      </w:r>
      <w:r w:rsidRPr="00723973">
        <w:rPr>
          <w:sz w:val="26"/>
          <w:szCs w:val="26"/>
        </w:rPr>
        <w:tab/>
      </w:r>
      <w:r w:rsidRPr="00723973">
        <w:rPr>
          <w:sz w:val="26"/>
          <w:szCs w:val="26"/>
        </w:rPr>
        <w:tab/>
        <w:t>Dân tộc:</w:t>
      </w:r>
      <w:r w:rsidRPr="00723973">
        <w:rPr>
          <w:bCs/>
          <w:sz w:val="26"/>
          <w:szCs w:val="26"/>
        </w:rPr>
        <w:t xml:space="preserve"> </w:t>
      </w:r>
      <w:r w:rsidR="00A4243B" w:rsidRPr="00723973">
        <w:rPr>
          <w:bCs/>
          <w:sz w:val="26"/>
          <w:szCs w:val="26"/>
        </w:rPr>
        <w:t>Kinh</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A4243B" w:rsidRPr="00723973">
        <w:rPr>
          <w:bCs/>
          <w:sz w:val="26"/>
          <w:szCs w:val="26"/>
        </w:rPr>
        <w:t>Việt Nam</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A4243B" w:rsidRPr="00723973" w:rsidRDefault="00A4243B" w:rsidP="00A4243B">
      <w:pPr>
        <w:spacing w:line="240" w:lineRule="auto"/>
        <w:ind w:firstLine="360"/>
        <w:rPr>
          <w:bCs/>
          <w:sz w:val="26"/>
          <w:szCs w:val="26"/>
          <w:lang w:val="vi-VN"/>
        </w:rPr>
      </w:pPr>
      <w:r w:rsidRPr="00723973">
        <w:rPr>
          <w:sz w:val="26"/>
          <w:szCs w:val="26"/>
          <w:lang w:val="vi-VN"/>
        </w:rPr>
        <w:t xml:space="preserve">Số giấy tờ pháp lý: </w:t>
      </w:r>
      <w:r w:rsidR="00D3070E">
        <w:rPr>
          <w:spacing w:val="-2"/>
          <w:sz w:val="26"/>
          <w:szCs w:val="26"/>
        </w:rPr>
        <w:t>087184006401</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D3070E">
        <w:rPr>
          <w:sz w:val="26"/>
          <w:szCs w:val="26"/>
          <w:lang w:val="vi"/>
        </w:rPr>
        <w:t>05/09/2022</w:t>
      </w:r>
      <w:r w:rsidRPr="00723973">
        <w:rPr>
          <w:bCs/>
          <w:sz w:val="26"/>
          <w:szCs w:val="26"/>
          <w:lang w:val="vi-VN"/>
        </w:rPr>
        <w:tab/>
      </w:r>
    </w:p>
    <w:p w:rsidR="00A4243B" w:rsidRPr="00723973" w:rsidRDefault="00A4243B" w:rsidP="00A4243B">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AD6648" w:rsidRPr="00D22D16" w:rsidRDefault="00C96868" w:rsidP="00D22D16">
      <w:pPr>
        <w:tabs>
          <w:tab w:val="left" w:pos="90"/>
        </w:tabs>
        <w:ind w:firstLine="360"/>
        <w:rPr>
          <w:color w:val="000000"/>
          <w:sz w:val="26"/>
          <w:szCs w:val="26"/>
          <w:lang w:eastAsia="zh-CN"/>
        </w:rPr>
      </w:pPr>
      <w:r w:rsidRPr="00723973">
        <w:rPr>
          <w:sz w:val="26"/>
          <w:szCs w:val="26"/>
        </w:rPr>
        <w:t xml:space="preserve">Địa chỉ thường trú: </w:t>
      </w:r>
      <w:r w:rsidR="00002A1A">
        <w:rPr>
          <w:color w:val="000000"/>
          <w:sz w:val="26"/>
          <w:szCs w:val="26"/>
          <w:lang w:eastAsia="zh-CN"/>
        </w:rPr>
        <w:t>Số 268B/3, đường An Phú 06, Tổ 13, Khu phố 2</w:t>
      </w:r>
      <w:r w:rsidR="00D22D16" w:rsidRPr="00D22D16">
        <w:rPr>
          <w:color w:val="000000"/>
          <w:sz w:val="26"/>
          <w:szCs w:val="26"/>
          <w:lang w:eastAsia="zh-CN"/>
        </w:rPr>
        <w:t>, Phường An Phú</w:t>
      </w:r>
      <w:r w:rsidR="00535A73" w:rsidRPr="00535A73">
        <w:rPr>
          <w:color w:val="000000"/>
          <w:sz w:val="26"/>
          <w:szCs w:val="26"/>
          <w:lang w:eastAsia="zh-CN"/>
        </w:rPr>
        <w:t>, Thành Hồ Chí Minh</w:t>
      </w:r>
      <w:r w:rsidR="00D22D16" w:rsidRPr="00D22D16">
        <w:rPr>
          <w:color w:val="000000"/>
          <w:sz w:val="26"/>
          <w:szCs w:val="26"/>
          <w:lang w:eastAsia="zh-CN"/>
        </w:rPr>
        <w:t>, Việt Nam</w:t>
      </w:r>
    </w:p>
    <w:p w:rsidR="00AD6648" w:rsidRPr="00723973" w:rsidRDefault="00C96868" w:rsidP="00AD6648">
      <w:pPr>
        <w:tabs>
          <w:tab w:val="left" w:pos="90"/>
        </w:tabs>
        <w:ind w:firstLine="360"/>
        <w:rPr>
          <w:bCs/>
          <w:sz w:val="26"/>
          <w:szCs w:val="26"/>
        </w:rPr>
      </w:pPr>
      <w:r w:rsidRPr="00723973">
        <w:rPr>
          <w:sz w:val="26"/>
          <w:szCs w:val="26"/>
        </w:rPr>
        <w:lastRenderedPageBreak/>
        <w:t xml:space="preserve">Địa chỉ liên lạc: </w:t>
      </w:r>
      <w:r w:rsidR="00002A1A">
        <w:rPr>
          <w:color w:val="000000"/>
          <w:sz w:val="26"/>
          <w:szCs w:val="26"/>
          <w:lang w:eastAsia="zh-CN"/>
        </w:rPr>
        <w:t>Số 268B/3, đường An Phú 06, Tổ 13, Khu phố 2</w:t>
      </w:r>
      <w:r w:rsidR="00535A73" w:rsidRPr="00D22D16">
        <w:rPr>
          <w:color w:val="000000"/>
          <w:sz w:val="26"/>
          <w:szCs w:val="26"/>
          <w:lang w:eastAsia="zh-CN"/>
        </w:rPr>
        <w:t>, Phường An Phú</w:t>
      </w:r>
      <w:r w:rsidR="00535A73" w:rsidRPr="00535A73">
        <w:rPr>
          <w:color w:val="000000"/>
          <w:sz w:val="26"/>
          <w:szCs w:val="26"/>
          <w:lang w:eastAsia="zh-CN"/>
        </w:rPr>
        <w:t>, Thành Hồ Chí Minh</w:t>
      </w:r>
      <w:r w:rsidR="00535A73" w:rsidRPr="00D22D16">
        <w:rPr>
          <w:color w:val="000000"/>
          <w:sz w:val="26"/>
          <w:szCs w:val="26"/>
          <w:lang w:eastAsia="zh-CN"/>
        </w:rPr>
        <w:t>, Việt Nam</w:t>
      </w:r>
      <w:r w:rsidR="00AD6648" w:rsidRPr="00723973">
        <w:rPr>
          <w:bCs/>
          <w:sz w:val="26"/>
          <w:szCs w:val="26"/>
        </w:rPr>
        <w:t xml:space="preserve"> </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1" w:name="dieu_13"/>
      <w:r w:rsidR="003B53DF" w:rsidRPr="00723973">
        <w:rPr>
          <w:bCs/>
          <w:color w:val="000000"/>
          <w:sz w:val="26"/>
          <w:szCs w:val="26"/>
          <w:lang w:val="vi-VN"/>
        </w:rPr>
        <w:t>Trách nhiệm của người đại diện theo pháp luật của doanh nghiệp</w:t>
      </w:r>
      <w:bookmarkEnd w:id="1"/>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B57DE6">
        <w:rPr>
          <w:sz w:val="26"/>
          <w:szCs w:val="26"/>
        </w:rPr>
        <w:t>1</w:t>
      </w:r>
      <w:r w:rsidR="000E2035" w:rsidRPr="00723973">
        <w:rPr>
          <w:sz w:val="26"/>
          <w:szCs w:val="26"/>
        </w:rPr>
        <w:t>.</w:t>
      </w:r>
      <w:r w:rsidR="00B57DE6">
        <w:rPr>
          <w:sz w:val="26"/>
          <w:szCs w:val="26"/>
        </w:rPr>
        <w:t>5</w:t>
      </w:r>
      <w:r w:rsidR="000E2035" w:rsidRPr="00723973">
        <w:rPr>
          <w:sz w:val="26"/>
          <w:szCs w:val="26"/>
        </w:rPr>
        <w:t xml:space="preserve">00.000.000 đồng (viết bằng chữ: </w:t>
      </w:r>
      <w:r w:rsidR="00B57DE6" w:rsidRPr="00B57DE6">
        <w:rPr>
          <w:sz w:val="26"/>
          <w:szCs w:val="26"/>
        </w:rPr>
        <w:t>Một tỷ năm trăm triệu đồng</w:t>
      </w:r>
      <w:r w:rsidR="000E2035" w:rsidRPr="00723973">
        <w:rPr>
          <w:sz w:val="26"/>
          <w:szCs w:val="26"/>
        </w:rPr>
        <w:t>)</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B57DE6">
        <w:rPr>
          <w:sz w:val="26"/>
          <w:szCs w:val="26"/>
        </w:rPr>
        <w:t>1</w:t>
      </w:r>
      <w:r w:rsidR="000E2035" w:rsidRPr="00723973">
        <w:rPr>
          <w:sz w:val="26"/>
          <w:szCs w:val="26"/>
        </w:rPr>
        <w:t>.</w:t>
      </w:r>
      <w:r w:rsidR="00B57DE6">
        <w:rPr>
          <w:sz w:val="26"/>
          <w:szCs w:val="26"/>
        </w:rPr>
        <w:t>5</w:t>
      </w:r>
      <w:r w:rsidR="000E2035" w:rsidRPr="00723973">
        <w:rPr>
          <w:sz w:val="26"/>
          <w:szCs w:val="26"/>
        </w:rPr>
        <w:t xml:space="preserve">00.000.000 đồng (viết bằng chữ: </w:t>
      </w:r>
      <w:r w:rsidR="00B57DE6" w:rsidRPr="00B57DE6">
        <w:rPr>
          <w:sz w:val="26"/>
          <w:szCs w:val="26"/>
        </w:rPr>
        <w:t>Một tỷ năm trăm triệu đồng</w:t>
      </w:r>
      <w:r w:rsidR="000E2035" w:rsidRPr="00723973">
        <w:rPr>
          <w:sz w:val="26"/>
          <w:szCs w:val="26"/>
        </w:rPr>
        <w:t>)</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2A2924">
        <w:rPr>
          <w:b/>
          <w:sz w:val="26"/>
          <w:szCs w:val="26"/>
        </w:rPr>
        <w:t>ĐOÀN THỊ HUỲNH HƯƠNG</w:t>
      </w:r>
      <w:r w:rsidRPr="00723973">
        <w:rPr>
          <w:sz w:val="26"/>
          <w:szCs w:val="26"/>
          <w:lang w:val="vi-VN"/>
        </w:rPr>
        <w:tab/>
      </w:r>
      <w:bookmarkStart w:id="2" w:name="_Hlk60644364"/>
    </w:p>
    <w:p w:rsidR="001E286F" w:rsidRPr="00723973" w:rsidRDefault="001E286F" w:rsidP="001E286F">
      <w:pPr>
        <w:tabs>
          <w:tab w:val="left" w:pos="90"/>
        </w:tabs>
        <w:ind w:firstLine="360"/>
        <w:rPr>
          <w:sz w:val="26"/>
          <w:szCs w:val="26"/>
        </w:rPr>
      </w:pPr>
      <w:r w:rsidRPr="00723973">
        <w:rPr>
          <w:sz w:val="26"/>
          <w:szCs w:val="26"/>
        </w:rPr>
        <w:t>Giới tính: N</w:t>
      </w:r>
      <w:r w:rsidR="00E37DD7">
        <w:rPr>
          <w:sz w:val="26"/>
          <w:szCs w:val="26"/>
        </w:rPr>
        <w:t>ữ</w:t>
      </w:r>
    </w:p>
    <w:p w:rsidR="001E286F" w:rsidRPr="00723973" w:rsidRDefault="001E286F" w:rsidP="001E286F">
      <w:pPr>
        <w:tabs>
          <w:tab w:val="left" w:pos="90"/>
        </w:tabs>
        <w:ind w:firstLine="360"/>
        <w:rPr>
          <w:bCs/>
          <w:sz w:val="26"/>
          <w:szCs w:val="26"/>
        </w:rPr>
      </w:pPr>
      <w:r w:rsidRPr="00723973">
        <w:rPr>
          <w:sz w:val="26"/>
          <w:szCs w:val="26"/>
        </w:rPr>
        <w:t xml:space="preserve">Sinh ngày: </w:t>
      </w:r>
      <w:r w:rsidR="00D3070E">
        <w:rPr>
          <w:sz w:val="26"/>
          <w:szCs w:val="26"/>
        </w:rPr>
        <w:t>11/06/1984</w:t>
      </w:r>
      <w:r w:rsidRPr="00723973">
        <w:rPr>
          <w:sz w:val="26"/>
          <w:szCs w:val="26"/>
        </w:rPr>
        <w:t xml:space="preserve"> </w:t>
      </w:r>
      <w:r w:rsidRPr="00723973">
        <w:rPr>
          <w:sz w:val="26"/>
          <w:szCs w:val="26"/>
          <w:lang w:eastAsia="zh-CN"/>
        </w:rPr>
        <w:t xml:space="preserve"> </w:t>
      </w:r>
      <w:r w:rsidRPr="00723973">
        <w:rPr>
          <w:sz w:val="26"/>
          <w:szCs w:val="26"/>
        </w:rPr>
        <w:tab/>
      </w:r>
      <w:r w:rsidRPr="00723973">
        <w:rPr>
          <w:sz w:val="26"/>
          <w:szCs w:val="26"/>
        </w:rPr>
        <w:tab/>
        <w:t>Dân tộc:</w:t>
      </w:r>
      <w:r w:rsidRPr="00723973">
        <w:rPr>
          <w:bCs/>
          <w:sz w:val="26"/>
          <w:szCs w:val="26"/>
        </w:rPr>
        <w:t xml:space="preserve"> Kinh</w:t>
      </w:r>
    </w:p>
    <w:p w:rsidR="001E286F" w:rsidRPr="00723973" w:rsidRDefault="001E286F" w:rsidP="001E286F">
      <w:pPr>
        <w:tabs>
          <w:tab w:val="left" w:pos="90"/>
        </w:tabs>
        <w:ind w:firstLine="360"/>
        <w:rPr>
          <w:sz w:val="26"/>
          <w:szCs w:val="26"/>
        </w:rPr>
      </w:pPr>
      <w:r w:rsidRPr="00723973">
        <w:rPr>
          <w:sz w:val="26"/>
          <w:szCs w:val="26"/>
        </w:rPr>
        <w:t>Quốc tịch:</w:t>
      </w:r>
      <w:r w:rsidRPr="00723973">
        <w:rPr>
          <w:bCs/>
          <w:sz w:val="26"/>
          <w:szCs w:val="26"/>
        </w:rPr>
        <w:t xml:space="preserve"> Việt Nam</w:t>
      </w:r>
    </w:p>
    <w:p w:rsidR="001E286F" w:rsidRPr="00723973" w:rsidRDefault="001E286F" w:rsidP="001E286F">
      <w:pPr>
        <w:snapToGrid w:val="0"/>
        <w:spacing w:line="240" w:lineRule="auto"/>
        <w:ind w:firstLine="360"/>
        <w:rPr>
          <w:sz w:val="26"/>
          <w:szCs w:val="26"/>
        </w:rPr>
      </w:pPr>
      <w:r w:rsidRPr="00723973">
        <w:rPr>
          <w:sz w:val="26"/>
          <w:szCs w:val="26"/>
          <w:lang w:val="vi-VN"/>
        </w:rPr>
        <w:lastRenderedPageBreak/>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00D3070E">
        <w:rPr>
          <w:spacing w:val="-2"/>
          <w:sz w:val="26"/>
          <w:szCs w:val="26"/>
        </w:rPr>
        <w:t>087184006401</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D3070E">
        <w:rPr>
          <w:sz w:val="26"/>
          <w:szCs w:val="26"/>
          <w:lang w:val="vi"/>
        </w:rPr>
        <w:t>05/09/2022</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1E286F" w:rsidRPr="00F32E1E" w:rsidRDefault="001E286F" w:rsidP="00F32E1E">
      <w:pPr>
        <w:tabs>
          <w:tab w:val="left" w:pos="90"/>
        </w:tabs>
        <w:ind w:firstLine="360"/>
        <w:rPr>
          <w:color w:val="000000"/>
          <w:sz w:val="26"/>
          <w:szCs w:val="26"/>
          <w:lang w:eastAsia="zh-CN"/>
        </w:rPr>
      </w:pPr>
      <w:r w:rsidRPr="00723973">
        <w:rPr>
          <w:sz w:val="26"/>
          <w:szCs w:val="26"/>
        </w:rPr>
        <w:t xml:space="preserve">Địa chỉ thường trú: </w:t>
      </w:r>
      <w:r w:rsidR="00002A1A">
        <w:rPr>
          <w:color w:val="000000"/>
          <w:sz w:val="26"/>
          <w:szCs w:val="26"/>
          <w:lang w:eastAsia="zh-CN"/>
        </w:rPr>
        <w:t>Số 268B/3, đường An Phú 06, Tổ 13, Khu phố 2</w:t>
      </w:r>
      <w:r w:rsidR="00F43A26" w:rsidRPr="00D22D16">
        <w:rPr>
          <w:color w:val="000000"/>
          <w:sz w:val="26"/>
          <w:szCs w:val="26"/>
          <w:lang w:eastAsia="zh-CN"/>
        </w:rPr>
        <w:t>, Phường An Phú</w:t>
      </w:r>
      <w:r w:rsidR="00F43A26" w:rsidRPr="00535A73">
        <w:rPr>
          <w:color w:val="000000"/>
          <w:sz w:val="26"/>
          <w:szCs w:val="26"/>
          <w:lang w:eastAsia="zh-CN"/>
        </w:rPr>
        <w:t>, Thành Hồ Chí Minh</w:t>
      </w:r>
      <w:r w:rsidR="00F43A26" w:rsidRPr="00D22D16">
        <w:rPr>
          <w:color w:val="000000"/>
          <w:sz w:val="26"/>
          <w:szCs w:val="26"/>
          <w:lang w:eastAsia="zh-CN"/>
        </w:rPr>
        <w:t>, Việt Nam</w:t>
      </w:r>
      <w:r w:rsidRPr="00723973">
        <w:rPr>
          <w:sz w:val="26"/>
          <w:szCs w:val="26"/>
        </w:rPr>
        <w:t xml:space="preserve"> </w:t>
      </w:r>
    </w:p>
    <w:p w:rsidR="001E286F" w:rsidRPr="00723973" w:rsidRDefault="001E286F" w:rsidP="001E286F">
      <w:pPr>
        <w:tabs>
          <w:tab w:val="left" w:pos="90"/>
        </w:tabs>
        <w:ind w:firstLine="360"/>
        <w:rPr>
          <w:bCs/>
          <w:sz w:val="26"/>
          <w:szCs w:val="26"/>
        </w:rPr>
      </w:pPr>
      <w:r w:rsidRPr="00723973">
        <w:rPr>
          <w:sz w:val="26"/>
          <w:szCs w:val="26"/>
        </w:rPr>
        <w:t xml:space="preserve">Địa chỉ liên lạc: </w:t>
      </w:r>
      <w:r w:rsidR="00002A1A">
        <w:rPr>
          <w:color w:val="000000"/>
          <w:sz w:val="26"/>
          <w:szCs w:val="26"/>
          <w:lang w:eastAsia="zh-CN"/>
        </w:rPr>
        <w:t>Số 268B/3, đường An Phú 06, Tổ 13, Khu phố 2</w:t>
      </w:r>
      <w:r w:rsidR="00B224EA" w:rsidRPr="00D22D16">
        <w:rPr>
          <w:color w:val="000000"/>
          <w:sz w:val="26"/>
          <w:szCs w:val="26"/>
          <w:lang w:eastAsia="zh-CN"/>
        </w:rPr>
        <w:t>, Phường An Phú</w:t>
      </w:r>
      <w:r w:rsidR="00B224EA" w:rsidRPr="00535A73">
        <w:rPr>
          <w:color w:val="000000"/>
          <w:sz w:val="26"/>
          <w:szCs w:val="26"/>
          <w:lang w:eastAsia="zh-CN"/>
        </w:rPr>
        <w:t>, Thành Hồ Chí Minh</w:t>
      </w:r>
      <w:r w:rsidR="00B224EA" w:rsidRPr="00D22D16">
        <w:rPr>
          <w:color w:val="000000"/>
          <w:sz w:val="26"/>
          <w:szCs w:val="26"/>
          <w:lang w:eastAsia="zh-CN"/>
        </w:rPr>
        <w:t>, Việt Nam</w:t>
      </w:r>
      <w:r w:rsidRPr="00723973">
        <w:rPr>
          <w:bCs/>
          <w:sz w:val="26"/>
          <w:szCs w:val="26"/>
        </w:rPr>
        <w:t xml:space="preserve"> </w:t>
      </w:r>
    </w:p>
    <w:p w:rsidR="001E286F" w:rsidRPr="00723973" w:rsidRDefault="001E286F" w:rsidP="001E286F">
      <w:pPr>
        <w:spacing w:line="240" w:lineRule="auto"/>
        <w:ind w:firstLine="360"/>
        <w:rPr>
          <w:rFonts w:eastAsia="Times New Roman"/>
          <w:color w:val="333333"/>
          <w:sz w:val="26"/>
          <w:szCs w:val="26"/>
          <w:lang w:val="vi-VN" w:eastAsia="vi-VN"/>
        </w:rPr>
      </w:pP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2"/>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lastRenderedPageBreak/>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3"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3"/>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4"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lastRenderedPageBreak/>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5"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5"/>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6" w:name="_Hlk60645937"/>
      <w:bookmarkEnd w:id="4"/>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lastRenderedPageBreak/>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7"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7"/>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8"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lastRenderedPageBreak/>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8"/>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Default="00DB3F9C" w:rsidP="001920A4">
      <w:pPr>
        <w:keepNext/>
        <w:spacing w:line="240" w:lineRule="auto"/>
        <w:ind w:firstLine="360"/>
        <w:outlineLvl w:val="5"/>
        <w:rPr>
          <w:sz w:val="26"/>
          <w:szCs w:val="26"/>
          <w:lang w:val="vi-VN"/>
        </w:rPr>
      </w:pPr>
      <w:r w:rsidRPr="00723973">
        <w:rPr>
          <w:sz w:val="26"/>
          <w:szCs w:val="26"/>
          <w:lang w:val="vi-VN"/>
        </w:rPr>
        <w:lastRenderedPageBreak/>
        <w:t>2. Khi muốn bổ sung, sửa đổi nội dung Điều lệ này, Chủ Sở hữu công ty sẽ xem xét, quyết định theo tình hình thực tế.</w:t>
      </w:r>
    </w:p>
    <w:p w:rsidR="002B4DE7" w:rsidRDefault="002B4DE7" w:rsidP="001920A4">
      <w:pPr>
        <w:keepNext/>
        <w:spacing w:line="240" w:lineRule="auto"/>
        <w:ind w:firstLine="360"/>
        <w:outlineLvl w:val="5"/>
        <w:rPr>
          <w:sz w:val="26"/>
          <w:szCs w:val="26"/>
          <w:lang w:val="vi-VN"/>
        </w:rPr>
      </w:pPr>
    </w:p>
    <w:p w:rsidR="002B4DE7" w:rsidRPr="002B4DE7" w:rsidRDefault="002B4DE7" w:rsidP="002B4DE7">
      <w:pPr>
        <w:keepNext/>
        <w:spacing w:line="240" w:lineRule="auto"/>
        <w:ind w:firstLine="360"/>
        <w:outlineLvl w:val="5"/>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Pr="002B4DE7" w:rsidRDefault="002B4DE7" w:rsidP="002B4DE7">
      <w:pPr>
        <w:keepNext/>
        <w:numPr>
          <w:ilvl w:val="0"/>
          <w:numId w:val="11"/>
        </w:numPr>
        <w:spacing w:line="240" w:lineRule="auto"/>
        <w:outlineLvl w:val="5"/>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6"/>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2230A7" w:rsidRDefault="002230A7"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6C3788" w:rsidRDefault="006C3788" w:rsidP="00CE4C70">
      <w:pPr>
        <w:tabs>
          <w:tab w:val="left" w:pos="90"/>
        </w:tabs>
        <w:spacing w:line="240" w:lineRule="auto"/>
        <w:ind w:firstLine="360"/>
        <w:rPr>
          <w:sz w:val="26"/>
          <w:szCs w:val="26"/>
          <w:lang w:val="vi-VN"/>
        </w:rPr>
      </w:pPr>
    </w:p>
    <w:p w:rsidR="006C3788" w:rsidRDefault="006C3788"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CE4C70" w:rsidRDefault="00CE4C70" w:rsidP="00CE4C70">
      <w:pPr>
        <w:tabs>
          <w:tab w:val="left" w:pos="90"/>
        </w:tabs>
        <w:spacing w:line="240" w:lineRule="auto"/>
        <w:ind w:firstLine="360"/>
        <w:rPr>
          <w:sz w:val="26"/>
          <w:szCs w:val="26"/>
          <w:lang w:val="vi-VN"/>
        </w:rPr>
      </w:pPr>
    </w:p>
    <w:p w:rsidR="00CE4C70" w:rsidRPr="008511CB" w:rsidRDefault="00114A2C" w:rsidP="00CE4C70">
      <w:pPr>
        <w:spacing w:line="240" w:lineRule="auto"/>
        <w:ind w:firstLine="360"/>
        <w:jc w:val="right"/>
        <w:rPr>
          <w:sz w:val="26"/>
          <w:szCs w:val="26"/>
          <w:lang w:val="vi-VN"/>
        </w:rPr>
      </w:pPr>
      <w:r>
        <w:rPr>
          <w:sz w:val="26"/>
          <w:szCs w:val="26"/>
        </w:rPr>
        <w:lastRenderedPageBreak/>
        <w:t>Thành Phố</w:t>
      </w:r>
      <w:r w:rsidR="00CE4C70" w:rsidRPr="008511CB">
        <w:rPr>
          <w:sz w:val="26"/>
          <w:szCs w:val="26"/>
          <w:lang w:val="vi-VN"/>
        </w:rPr>
        <w:t xml:space="preserve"> </w:t>
      </w:r>
      <w:r>
        <w:rPr>
          <w:sz w:val="26"/>
          <w:szCs w:val="26"/>
        </w:rPr>
        <w:t>Hồ Chí Minh</w:t>
      </w:r>
      <w:r w:rsidR="00CE4C70" w:rsidRPr="008511CB">
        <w:rPr>
          <w:sz w:val="26"/>
          <w:szCs w:val="26"/>
          <w:lang w:val="vi-VN"/>
        </w:rPr>
        <w:t>,</w:t>
      </w:r>
      <w:r w:rsidR="00663ADF" w:rsidRPr="008511CB">
        <w:rPr>
          <w:sz w:val="26"/>
          <w:szCs w:val="26"/>
        </w:rPr>
        <w:t xml:space="preserve"> ngày</w:t>
      </w:r>
      <w:r w:rsidR="00CE4C70" w:rsidRPr="008511CB">
        <w:rPr>
          <w:sz w:val="26"/>
          <w:szCs w:val="26"/>
          <w:lang w:val="vi-VN"/>
        </w:rPr>
        <w:t xml:space="preserve"> </w:t>
      </w:r>
      <w:r w:rsidR="00663ADF" w:rsidRPr="008511CB">
        <w:rPr>
          <w:sz w:val="26"/>
          <w:szCs w:val="26"/>
          <w:lang w:val="vi-VN"/>
        </w:rPr>
        <w:t>1</w:t>
      </w:r>
      <w:r w:rsidR="00A175D4">
        <w:rPr>
          <w:sz w:val="26"/>
          <w:szCs w:val="26"/>
        </w:rPr>
        <w:t>8</w:t>
      </w:r>
      <w:bookmarkStart w:id="9" w:name="_GoBack"/>
      <w:bookmarkEnd w:id="9"/>
      <w:r w:rsidR="00663ADF" w:rsidRPr="008511CB">
        <w:rPr>
          <w:sz w:val="26"/>
          <w:szCs w:val="26"/>
          <w:lang w:val="vi-VN"/>
        </w:rPr>
        <w:t xml:space="preserve"> tháng </w:t>
      </w:r>
      <w:r w:rsidR="00B07B73">
        <w:rPr>
          <w:sz w:val="26"/>
          <w:szCs w:val="26"/>
        </w:rPr>
        <w:t>7</w:t>
      </w:r>
      <w:r w:rsidR="00663ADF" w:rsidRPr="008511CB">
        <w:rPr>
          <w:sz w:val="26"/>
          <w:szCs w:val="26"/>
          <w:lang w:val="vi-VN"/>
        </w:rPr>
        <w:t xml:space="preserve"> năm 2025</w:t>
      </w:r>
      <w:r w:rsidR="00CE4C70" w:rsidRPr="008511CB">
        <w:rPr>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2230A7" w:rsidRDefault="002230A7"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Pr="00861BC6" w:rsidRDefault="002A2924" w:rsidP="00861BC6">
      <w:pPr>
        <w:spacing w:line="240" w:lineRule="auto"/>
        <w:ind w:left="4320" w:firstLine="720"/>
        <w:jc w:val="center"/>
        <w:rPr>
          <w:b/>
          <w:bCs/>
          <w:sz w:val="26"/>
          <w:szCs w:val="26"/>
          <w:lang w:val="vi-VN"/>
        </w:rPr>
      </w:pPr>
      <w:r>
        <w:rPr>
          <w:b/>
          <w:bCs/>
          <w:sz w:val="26"/>
          <w:szCs w:val="26"/>
          <w:lang w:val="vi-VN"/>
        </w:rPr>
        <w:t>ĐOÀN THỊ HUỲNH HƯƠNG</w:t>
      </w:r>
    </w:p>
    <w:p w:rsidR="00CE4C70" w:rsidRPr="00723973" w:rsidRDefault="00CE4C70" w:rsidP="001920A4">
      <w:pPr>
        <w:tabs>
          <w:tab w:val="left" w:pos="90"/>
        </w:tabs>
        <w:spacing w:line="240" w:lineRule="auto"/>
        <w:ind w:firstLine="360"/>
        <w:rPr>
          <w:sz w:val="26"/>
          <w:szCs w:val="26"/>
          <w:lang w:val="vi-VN"/>
        </w:rPr>
      </w:pPr>
    </w:p>
    <w:sectPr w:rsidR="00CE4C70" w:rsidRPr="00723973" w:rsidSect="006C3788">
      <w:headerReference w:type="default" r:id="rId7"/>
      <w:footerReference w:type="default" r:id="rId8"/>
      <w:headerReference w:type="first" r:id="rId9"/>
      <w:pgSz w:w="11906" w:h="16838" w:code="9"/>
      <w:pgMar w:top="902" w:right="1440" w:bottom="1077" w:left="1797"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4B1" w:rsidRDefault="000814B1">
      <w:r>
        <w:separator/>
      </w:r>
    </w:p>
  </w:endnote>
  <w:endnote w:type="continuationSeparator" w:id="0">
    <w:p w:rsidR="000814B1" w:rsidRDefault="00081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A175D4">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4B1" w:rsidRDefault="000814B1">
      <w:r>
        <w:separator/>
      </w:r>
    </w:p>
  </w:footnote>
  <w:footnote w:type="continuationSeparator" w:id="0">
    <w:p w:rsidR="000814B1" w:rsidRDefault="000814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02A1A"/>
    <w:rsid w:val="000174BC"/>
    <w:rsid w:val="00037EAC"/>
    <w:rsid w:val="0004739A"/>
    <w:rsid w:val="000478E9"/>
    <w:rsid w:val="00054C6F"/>
    <w:rsid w:val="00064E89"/>
    <w:rsid w:val="00076474"/>
    <w:rsid w:val="000814B1"/>
    <w:rsid w:val="000956B2"/>
    <w:rsid w:val="000A51B2"/>
    <w:rsid w:val="000B6EE8"/>
    <w:rsid w:val="000E2035"/>
    <w:rsid w:val="00114A2C"/>
    <w:rsid w:val="00160D35"/>
    <w:rsid w:val="0017315C"/>
    <w:rsid w:val="001920A4"/>
    <w:rsid w:val="001B2A84"/>
    <w:rsid w:val="001D44A4"/>
    <w:rsid w:val="001E286F"/>
    <w:rsid w:val="001F7971"/>
    <w:rsid w:val="002230A7"/>
    <w:rsid w:val="00224947"/>
    <w:rsid w:val="002548E6"/>
    <w:rsid w:val="00260E6E"/>
    <w:rsid w:val="002672DD"/>
    <w:rsid w:val="002A2924"/>
    <w:rsid w:val="002B4542"/>
    <w:rsid w:val="002B4DE7"/>
    <w:rsid w:val="002B7229"/>
    <w:rsid w:val="002C323A"/>
    <w:rsid w:val="002D7B84"/>
    <w:rsid w:val="002F2C78"/>
    <w:rsid w:val="00306055"/>
    <w:rsid w:val="00320BDA"/>
    <w:rsid w:val="00346FE7"/>
    <w:rsid w:val="00364FFB"/>
    <w:rsid w:val="003B53DF"/>
    <w:rsid w:val="003B7EA1"/>
    <w:rsid w:val="003F51F5"/>
    <w:rsid w:val="00405331"/>
    <w:rsid w:val="00411324"/>
    <w:rsid w:val="004331CA"/>
    <w:rsid w:val="00452464"/>
    <w:rsid w:val="004530A4"/>
    <w:rsid w:val="00457BB9"/>
    <w:rsid w:val="0046021E"/>
    <w:rsid w:val="0046222E"/>
    <w:rsid w:val="0047371B"/>
    <w:rsid w:val="004779E9"/>
    <w:rsid w:val="00485522"/>
    <w:rsid w:val="004A32BF"/>
    <w:rsid w:val="004B005A"/>
    <w:rsid w:val="004C256E"/>
    <w:rsid w:val="004E4DE4"/>
    <w:rsid w:val="004F06E0"/>
    <w:rsid w:val="00521A59"/>
    <w:rsid w:val="00523218"/>
    <w:rsid w:val="00535A73"/>
    <w:rsid w:val="00555696"/>
    <w:rsid w:val="005636AE"/>
    <w:rsid w:val="005639A9"/>
    <w:rsid w:val="00582BBA"/>
    <w:rsid w:val="005A5D9C"/>
    <w:rsid w:val="005D1EC7"/>
    <w:rsid w:val="005D5DEA"/>
    <w:rsid w:val="005F5A00"/>
    <w:rsid w:val="006261AA"/>
    <w:rsid w:val="00640F8B"/>
    <w:rsid w:val="00650F09"/>
    <w:rsid w:val="00656E63"/>
    <w:rsid w:val="00663ADF"/>
    <w:rsid w:val="00670E0B"/>
    <w:rsid w:val="006763BF"/>
    <w:rsid w:val="006B4AF9"/>
    <w:rsid w:val="006B4FE6"/>
    <w:rsid w:val="006C3788"/>
    <w:rsid w:val="006E45EA"/>
    <w:rsid w:val="006F5716"/>
    <w:rsid w:val="0070395D"/>
    <w:rsid w:val="007127F1"/>
    <w:rsid w:val="00713F77"/>
    <w:rsid w:val="00716E93"/>
    <w:rsid w:val="00723973"/>
    <w:rsid w:val="0075081E"/>
    <w:rsid w:val="00762C22"/>
    <w:rsid w:val="00766B19"/>
    <w:rsid w:val="007758FB"/>
    <w:rsid w:val="007B2135"/>
    <w:rsid w:val="007B2299"/>
    <w:rsid w:val="007B2380"/>
    <w:rsid w:val="007C5076"/>
    <w:rsid w:val="007E0B0A"/>
    <w:rsid w:val="007E524C"/>
    <w:rsid w:val="007F79B0"/>
    <w:rsid w:val="008113CE"/>
    <w:rsid w:val="0082142D"/>
    <w:rsid w:val="00823530"/>
    <w:rsid w:val="00827273"/>
    <w:rsid w:val="00843239"/>
    <w:rsid w:val="008511CB"/>
    <w:rsid w:val="0085733B"/>
    <w:rsid w:val="00861BC6"/>
    <w:rsid w:val="00867E91"/>
    <w:rsid w:val="00893E52"/>
    <w:rsid w:val="008B660D"/>
    <w:rsid w:val="008D6BA3"/>
    <w:rsid w:val="008F01F6"/>
    <w:rsid w:val="008F35BD"/>
    <w:rsid w:val="009464A0"/>
    <w:rsid w:val="00956386"/>
    <w:rsid w:val="00962D75"/>
    <w:rsid w:val="009A616F"/>
    <w:rsid w:val="009A7060"/>
    <w:rsid w:val="009D6697"/>
    <w:rsid w:val="009F0CAD"/>
    <w:rsid w:val="00A046D2"/>
    <w:rsid w:val="00A175D4"/>
    <w:rsid w:val="00A228A7"/>
    <w:rsid w:val="00A256B6"/>
    <w:rsid w:val="00A413BA"/>
    <w:rsid w:val="00A4243B"/>
    <w:rsid w:val="00A52B12"/>
    <w:rsid w:val="00A7089F"/>
    <w:rsid w:val="00A84C5B"/>
    <w:rsid w:val="00AA26DF"/>
    <w:rsid w:val="00AA37E0"/>
    <w:rsid w:val="00AD6648"/>
    <w:rsid w:val="00B03E5E"/>
    <w:rsid w:val="00B07B73"/>
    <w:rsid w:val="00B140CF"/>
    <w:rsid w:val="00B20A90"/>
    <w:rsid w:val="00B224EA"/>
    <w:rsid w:val="00B468FD"/>
    <w:rsid w:val="00B57DE6"/>
    <w:rsid w:val="00B666EF"/>
    <w:rsid w:val="00B73D97"/>
    <w:rsid w:val="00B81352"/>
    <w:rsid w:val="00B825D4"/>
    <w:rsid w:val="00B841BF"/>
    <w:rsid w:val="00BB0D7C"/>
    <w:rsid w:val="00BB20E2"/>
    <w:rsid w:val="00BB3098"/>
    <w:rsid w:val="00BD19D8"/>
    <w:rsid w:val="00BD1AE7"/>
    <w:rsid w:val="00BF0435"/>
    <w:rsid w:val="00C018CC"/>
    <w:rsid w:val="00C109EB"/>
    <w:rsid w:val="00C27D2E"/>
    <w:rsid w:val="00C36541"/>
    <w:rsid w:val="00C5137F"/>
    <w:rsid w:val="00C525A6"/>
    <w:rsid w:val="00C916AD"/>
    <w:rsid w:val="00C94F23"/>
    <w:rsid w:val="00C96868"/>
    <w:rsid w:val="00CB152B"/>
    <w:rsid w:val="00CE4C70"/>
    <w:rsid w:val="00D22D16"/>
    <w:rsid w:val="00D304C1"/>
    <w:rsid w:val="00D3070E"/>
    <w:rsid w:val="00D42550"/>
    <w:rsid w:val="00D44820"/>
    <w:rsid w:val="00D44F61"/>
    <w:rsid w:val="00D64189"/>
    <w:rsid w:val="00D700EF"/>
    <w:rsid w:val="00D87A01"/>
    <w:rsid w:val="00D9466E"/>
    <w:rsid w:val="00D9717B"/>
    <w:rsid w:val="00DB3F9C"/>
    <w:rsid w:val="00DC07E9"/>
    <w:rsid w:val="00E0636A"/>
    <w:rsid w:val="00E06915"/>
    <w:rsid w:val="00E14993"/>
    <w:rsid w:val="00E37DD7"/>
    <w:rsid w:val="00EA2DB1"/>
    <w:rsid w:val="00EB4C98"/>
    <w:rsid w:val="00F26EA6"/>
    <w:rsid w:val="00F32E1E"/>
    <w:rsid w:val="00F3397B"/>
    <w:rsid w:val="00F36F54"/>
    <w:rsid w:val="00F4013E"/>
    <w:rsid w:val="00F435D1"/>
    <w:rsid w:val="00F43A26"/>
    <w:rsid w:val="00F76215"/>
    <w:rsid w:val="00F80E64"/>
    <w:rsid w:val="00F949AE"/>
    <w:rsid w:val="00F964C4"/>
    <w:rsid w:val="00F96FD2"/>
    <w:rsid w:val="00FA5D74"/>
    <w:rsid w:val="00FB166E"/>
    <w:rsid w:val="00FB1702"/>
    <w:rsid w:val="00FB2690"/>
    <w:rsid w:val="00FF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C37FC3"/>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5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209458549">
      <w:bodyDiv w:val="1"/>
      <w:marLeft w:val="0"/>
      <w:marRight w:val="0"/>
      <w:marTop w:val="0"/>
      <w:marBottom w:val="0"/>
      <w:divBdr>
        <w:top w:val="none" w:sz="0" w:space="0" w:color="auto"/>
        <w:left w:val="none" w:sz="0" w:space="0" w:color="auto"/>
        <w:bottom w:val="none" w:sz="0" w:space="0" w:color="auto"/>
        <w:right w:val="none" w:sz="0" w:space="0" w:color="auto"/>
      </w:divBdr>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846163107">
      <w:bodyDiv w:val="1"/>
      <w:marLeft w:val="0"/>
      <w:marRight w:val="0"/>
      <w:marTop w:val="0"/>
      <w:marBottom w:val="0"/>
      <w:divBdr>
        <w:top w:val="none" w:sz="0" w:space="0" w:color="auto"/>
        <w:left w:val="none" w:sz="0" w:space="0" w:color="auto"/>
        <w:bottom w:val="none" w:sz="0" w:space="0" w:color="auto"/>
        <w:right w:val="none" w:sz="0" w:space="0" w:color="auto"/>
      </w:divBdr>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12</Pages>
  <Words>2797</Words>
  <Characters>15948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NGÔ HOÀNG LÂN</cp:lastModifiedBy>
  <cp:revision>58</cp:revision>
  <dcterms:created xsi:type="dcterms:W3CDTF">2025-05-07T08:38:00Z</dcterms:created>
  <dcterms:modified xsi:type="dcterms:W3CDTF">2025-07-18T02:58:00Z</dcterms:modified>
</cp:coreProperties>
</file>