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22106DF4"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6686DF96"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F0016D">
        <w:rPr>
          <w:rFonts w:ascii="Times New Roman" w:hAnsi="Times New Roman"/>
          <w:color w:val="000000" w:themeColor="text1"/>
          <w:sz w:val="26"/>
          <w:szCs w:val="26"/>
          <w:lang w:eastAsia="zh-CN"/>
        </w:rPr>
        <w:t>WANG, QING</w:t>
      </w:r>
    </w:p>
    <w:p w14:paraId="4E4FB728" w14:textId="129876A1"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CBE2B8"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C7F6D9"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2E47F8FB"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AF18BEA" w14:textId="7DE5C85E"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48F81428"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957CC9D" w14:textId="0576DE7A"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4D45BE" w:rsidRPr="004D45BE">
        <w:rPr>
          <w:rFonts w:ascii="Times New Roman" w:hAnsi="Times New Roman"/>
          <w:color w:val="000000" w:themeColor="text1"/>
          <w:sz w:val="26"/>
          <w:szCs w:val="26"/>
          <w:lang w:val="vi" w:eastAsia="zh-CN"/>
        </w:rPr>
        <w:t>tỉnh Bình D</w:t>
      </w:r>
      <w:r w:rsidR="004D45BE" w:rsidRPr="004D45BE">
        <w:rPr>
          <w:rFonts w:ascii="Times New Roman" w:hAnsi="Times New Roman" w:hint="eastAsia"/>
          <w:color w:val="000000" w:themeColor="text1"/>
          <w:sz w:val="26"/>
          <w:szCs w:val="26"/>
          <w:lang w:val="vi" w:eastAsia="zh-CN"/>
        </w:rPr>
        <w:t>ươ</w:t>
      </w:r>
      <w:r w:rsidR="004D45BE" w:rsidRPr="004D45BE">
        <w:rPr>
          <w:rFonts w:ascii="Times New Roman" w:hAnsi="Times New Roman"/>
          <w:color w:val="000000" w:themeColor="text1"/>
          <w:sz w:val="26"/>
          <w:szCs w:val="26"/>
          <w:lang w:val="vi" w:eastAsia="zh-CN"/>
        </w:rPr>
        <w:t>ng, Việt Nam</w:t>
      </w:r>
    </w:p>
    <w:p w14:paraId="38519C32" w14:textId="2F6255EB"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12142B">
        <w:rPr>
          <w:rFonts w:ascii="Times New Roman" w:hAnsi="Times New Roman"/>
          <w:sz w:val="26"/>
          <w:szCs w:val="26"/>
          <w:lang w:val="vi"/>
        </w:rPr>
        <w:t>0779006428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432399E8"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275F15C5"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744E59C3" w:rsidR="004E5A4B" w:rsidRPr="004F09F1" w:rsidRDefault="00F07A4A"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5EA5B6B3"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12142B">
        <w:rPr>
          <w:rFonts w:ascii="Times New Roman" w:hAnsi="Times New Roman"/>
          <w:color w:val="000000" w:themeColor="text1"/>
          <w:sz w:val="26"/>
          <w:szCs w:val="26"/>
          <w:lang w:eastAsia="zh-CN"/>
        </w:rPr>
        <w:t xml:space="preserve">Số XXX, Đường YYY, khu phố ZZZ, phường Tân Hiệp, Thành phố Tân Uyên, </w:t>
      </w:r>
      <w:r w:rsidR="00201BDD" w:rsidRPr="00201BDD">
        <w:rPr>
          <w:rFonts w:ascii="Times New Roman" w:hAnsi="Times New Roman"/>
          <w:color w:val="000000" w:themeColor="text1"/>
          <w:sz w:val="26"/>
          <w:szCs w:val="26"/>
          <w:lang w:eastAsia="zh-CN"/>
        </w:rPr>
        <w:t>tỉnh Bình D</w:t>
      </w:r>
      <w:r w:rsidR="00201BDD" w:rsidRPr="00201BDD">
        <w:rPr>
          <w:rFonts w:ascii="Times New Roman" w:hAnsi="Times New Roman" w:hint="eastAsia"/>
          <w:color w:val="000000" w:themeColor="text1"/>
          <w:sz w:val="26"/>
          <w:szCs w:val="26"/>
          <w:lang w:eastAsia="zh-CN"/>
        </w:rPr>
        <w:t>ươ</w:t>
      </w:r>
      <w:r w:rsidR="00201BDD" w:rsidRPr="00201BDD">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9067" w:type="dxa"/>
        <w:tblLayout w:type="fixed"/>
        <w:tblLook w:val="04A0" w:firstRow="1" w:lastRow="0" w:firstColumn="1" w:lastColumn="0" w:noHBand="0" w:noVBand="1"/>
      </w:tblPr>
      <w:tblGrid>
        <w:gridCol w:w="828"/>
        <w:gridCol w:w="3058"/>
        <w:gridCol w:w="1354"/>
        <w:gridCol w:w="3827"/>
      </w:tblGrid>
      <w:tr w:rsidR="00AD6E4E" w:rsidRPr="004F09F1" w14:paraId="4D715145" w14:textId="77777777" w:rsidTr="00AB290F">
        <w:tc>
          <w:tcPr>
            <w:tcW w:w="828" w:type="dxa"/>
            <w:vAlign w:val="center"/>
          </w:tcPr>
          <w:p w14:paraId="6D488527" w14:textId="77777777" w:rsidR="00AD6E4E" w:rsidRPr="004F09F1" w:rsidRDefault="00AD6E4E" w:rsidP="00AB290F">
            <w:pPr>
              <w:jc w:val="center"/>
              <w:rPr>
                <w:rFonts w:ascii="Times New Roman" w:hAnsi="Times New Roman"/>
                <w:sz w:val="26"/>
                <w:szCs w:val="26"/>
              </w:rPr>
            </w:pPr>
            <w:r w:rsidRPr="004F09F1">
              <w:rPr>
                <w:rFonts w:ascii="Times New Roman" w:hAnsi="Times New Roman"/>
                <w:b/>
                <w:color w:val="000000" w:themeColor="text1"/>
                <w:sz w:val="26"/>
                <w:szCs w:val="26"/>
                <w:lang w:eastAsia="zh-CN"/>
              </w:rPr>
              <w:t>STT</w:t>
            </w:r>
          </w:p>
        </w:tc>
        <w:tc>
          <w:tcPr>
            <w:tcW w:w="3058" w:type="dxa"/>
            <w:vAlign w:val="center"/>
          </w:tcPr>
          <w:p w14:paraId="122926A4"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Tên ngành</w:t>
            </w:r>
          </w:p>
        </w:tc>
        <w:tc>
          <w:tcPr>
            <w:tcW w:w="1354" w:type="dxa"/>
            <w:vAlign w:val="center"/>
          </w:tcPr>
          <w:p w14:paraId="4FBC1368"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Mã ngành</w:t>
            </w:r>
          </w:p>
        </w:tc>
        <w:tc>
          <w:tcPr>
            <w:tcW w:w="3827" w:type="dxa"/>
            <w:vAlign w:val="center"/>
          </w:tcPr>
          <w:p w14:paraId="7D414E99"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Ngành, nghề kinh doanh chính (</w:t>
            </w:r>
            <w:r w:rsidRPr="004F09F1">
              <w:rPr>
                <w:rFonts w:ascii="Times New Roman" w:hAnsi="Times New Roman"/>
                <w:b/>
                <w:i/>
                <w:color w:val="000000" w:themeColor="text1"/>
                <w:sz w:val="26"/>
                <w:szCs w:val="26"/>
                <w:lang w:eastAsia="zh-CN"/>
              </w:rPr>
              <w:t>đánh dấu X để chọn một trong các ngành, nghề đã kê khai</w:t>
            </w:r>
            <w:r w:rsidRPr="004F09F1">
              <w:rPr>
                <w:rFonts w:ascii="Times New Roman" w:hAnsi="Times New Roman"/>
                <w:b/>
                <w:color w:val="000000" w:themeColor="text1"/>
                <w:sz w:val="26"/>
                <w:szCs w:val="26"/>
                <w:lang w:eastAsia="zh-CN"/>
              </w:rPr>
              <w:t>)</w:t>
            </w:r>
          </w:p>
        </w:tc>
      </w:tr>
      <w:tr w:rsidR="00AD6E4E" w:rsidRPr="004F09F1" w14:paraId="79605594" w14:textId="77777777" w:rsidTr="00AB290F">
        <w:tc>
          <w:tcPr>
            <w:tcW w:w="828" w:type="dxa"/>
          </w:tcPr>
          <w:p w14:paraId="0F47B07E"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1</w:t>
            </w:r>
          </w:p>
        </w:tc>
        <w:tc>
          <w:tcPr>
            <w:tcW w:w="3058" w:type="dxa"/>
          </w:tcPr>
          <w:p w14:paraId="4C4A7EE1"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Hoàn thiện sản phẩm dệt</w:t>
            </w:r>
          </w:p>
          <w:p w14:paraId="60F264EA"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in, thêu, trên sản phẩm quần áo, mũ nón (trừ in ấn trên bao bì; in ấn trên vải sợi, dệt, may, đan)</w:t>
            </w:r>
          </w:p>
        </w:tc>
        <w:tc>
          <w:tcPr>
            <w:tcW w:w="1354" w:type="dxa"/>
          </w:tcPr>
          <w:p w14:paraId="4E16436B"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1313</w:t>
            </w:r>
          </w:p>
        </w:tc>
        <w:tc>
          <w:tcPr>
            <w:tcW w:w="3827" w:type="dxa"/>
          </w:tcPr>
          <w:p w14:paraId="4725349D" w14:textId="77777777" w:rsidR="00AD6E4E" w:rsidRPr="004F09F1" w:rsidRDefault="00AD6E4E" w:rsidP="00AB290F">
            <w:pPr>
              <w:rPr>
                <w:rFonts w:ascii="Times New Roman" w:hAnsi="Times New Roman"/>
                <w:sz w:val="26"/>
                <w:szCs w:val="26"/>
              </w:rPr>
            </w:pPr>
          </w:p>
        </w:tc>
      </w:tr>
      <w:tr w:rsidR="00AD6E4E" w:rsidRPr="004F09F1" w14:paraId="47904C23" w14:textId="77777777" w:rsidTr="00AB290F">
        <w:tc>
          <w:tcPr>
            <w:tcW w:w="828" w:type="dxa"/>
          </w:tcPr>
          <w:p w14:paraId="7FC01A34"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2</w:t>
            </w:r>
          </w:p>
        </w:tc>
        <w:tc>
          <w:tcPr>
            <w:tcW w:w="3058" w:type="dxa"/>
          </w:tcPr>
          <w:p w14:paraId="07BA3E72"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May trang phục (trừ trang phục từ da lông thú)</w:t>
            </w:r>
          </w:p>
          <w:p w14:paraId="0EFA5124"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34078E9F"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1410</w:t>
            </w:r>
          </w:p>
        </w:tc>
        <w:tc>
          <w:tcPr>
            <w:tcW w:w="3827" w:type="dxa"/>
          </w:tcPr>
          <w:p w14:paraId="20F73A9D"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x</w:t>
            </w:r>
          </w:p>
        </w:tc>
      </w:tr>
      <w:tr w:rsidR="00AD6E4E" w:rsidRPr="004F09F1" w14:paraId="23BC3045" w14:textId="77777777" w:rsidTr="00AB290F">
        <w:tc>
          <w:tcPr>
            <w:tcW w:w="828" w:type="dxa"/>
          </w:tcPr>
          <w:p w14:paraId="05C5AFE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3</w:t>
            </w:r>
          </w:p>
        </w:tc>
        <w:tc>
          <w:tcPr>
            <w:tcW w:w="3058" w:type="dxa"/>
          </w:tcPr>
          <w:p w14:paraId="0BFA454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Sản xuất trang phục dệt kim, đan móc</w:t>
            </w:r>
          </w:p>
          <w:p w14:paraId="1B408126"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14A745CE"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1430</w:t>
            </w:r>
          </w:p>
        </w:tc>
        <w:tc>
          <w:tcPr>
            <w:tcW w:w="3827" w:type="dxa"/>
          </w:tcPr>
          <w:p w14:paraId="702DAFBF" w14:textId="77777777" w:rsidR="00AD6E4E" w:rsidRPr="004F09F1" w:rsidRDefault="00AD6E4E" w:rsidP="00AB290F">
            <w:pPr>
              <w:rPr>
                <w:rFonts w:ascii="Times New Roman" w:hAnsi="Times New Roman"/>
                <w:sz w:val="26"/>
                <w:szCs w:val="26"/>
              </w:rPr>
            </w:pPr>
          </w:p>
        </w:tc>
      </w:tr>
      <w:tr w:rsidR="00AD6E4E" w:rsidRPr="004F09F1" w14:paraId="473E6447" w14:textId="77777777" w:rsidTr="00AB290F">
        <w:tc>
          <w:tcPr>
            <w:tcW w:w="828" w:type="dxa"/>
          </w:tcPr>
          <w:p w14:paraId="0594808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4</w:t>
            </w:r>
          </w:p>
        </w:tc>
        <w:tc>
          <w:tcPr>
            <w:tcW w:w="3058" w:type="dxa"/>
          </w:tcPr>
          <w:p w14:paraId="2D13EDD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Bán buôn vải, hàng may sẵn, giày dép</w:t>
            </w:r>
          </w:p>
          <w:p w14:paraId="70977A4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lastRenderedPageBreak/>
              <w:t>Chi tiết: Bán buôn vải cây, quần áo, giày dép...</w:t>
            </w:r>
          </w:p>
        </w:tc>
        <w:tc>
          <w:tcPr>
            <w:tcW w:w="1354" w:type="dxa"/>
          </w:tcPr>
          <w:p w14:paraId="7E3A488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lastRenderedPageBreak/>
              <w:t>4641</w:t>
            </w:r>
          </w:p>
        </w:tc>
        <w:tc>
          <w:tcPr>
            <w:tcW w:w="3827" w:type="dxa"/>
          </w:tcPr>
          <w:p w14:paraId="1CFD94B3" w14:textId="77777777" w:rsidR="00AD6E4E" w:rsidRPr="004F09F1" w:rsidRDefault="00AD6E4E" w:rsidP="00AB290F">
            <w:pPr>
              <w:rPr>
                <w:rFonts w:ascii="Times New Roman" w:hAnsi="Times New Roman"/>
                <w:sz w:val="26"/>
                <w:szCs w:val="26"/>
              </w:rPr>
            </w:pPr>
          </w:p>
        </w:tc>
      </w:tr>
      <w:tr w:rsidR="00AD6E4E" w:rsidRPr="004F09F1" w14:paraId="3ED5923F" w14:textId="77777777" w:rsidTr="00AB290F">
        <w:tc>
          <w:tcPr>
            <w:tcW w:w="828" w:type="dxa"/>
          </w:tcPr>
          <w:p w14:paraId="3F99DC0C" w14:textId="23667A06"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lastRenderedPageBreak/>
              <w:t>5</w:t>
            </w:r>
          </w:p>
        </w:tc>
        <w:tc>
          <w:tcPr>
            <w:tcW w:w="3058" w:type="dxa"/>
          </w:tcPr>
          <w:p w14:paraId="0C9B938D"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Vận tải hàng hóa bằng đường bộ</w:t>
            </w:r>
          </w:p>
        </w:tc>
        <w:tc>
          <w:tcPr>
            <w:tcW w:w="1354" w:type="dxa"/>
          </w:tcPr>
          <w:p w14:paraId="47783DDF"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4933</w:t>
            </w:r>
          </w:p>
        </w:tc>
        <w:tc>
          <w:tcPr>
            <w:tcW w:w="3827" w:type="dxa"/>
          </w:tcPr>
          <w:p w14:paraId="6AEA6FF2" w14:textId="77777777" w:rsidR="00AD6E4E" w:rsidRPr="004F09F1" w:rsidRDefault="00AD6E4E" w:rsidP="00AB290F">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FD24EDE" w:rsidR="006D549F" w:rsidRPr="004F09F1" w:rsidRDefault="00F0016D" w:rsidP="006D549F">
      <w:pPr>
        <w:tabs>
          <w:tab w:val="left" w:pos="2863"/>
          <w:tab w:val="left" w:pos="4924"/>
        </w:tabs>
        <w:spacing w:before="1"/>
        <w:ind w:left="107" w:right="1980"/>
        <w:rPr>
          <w:rFonts w:ascii="Times New Roman" w:hAnsi="Times New Roman"/>
          <w:b/>
          <w:spacing w:val="1"/>
          <w:sz w:val="26"/>
          <w:szCs w:val="26"/>
        </w:rPr>
      </w:pPr>
      <w:r>
        <w:rPr>
          <w:rFonts w:ascii="Times New Roman" w:hAnsi="Times New Roman"/>
          <w:sz w:val="26"/>
          <w:szCs w:val="26"/>
        </w:rPr>
        <w:t>Ông/</w:t>
      </w:r>
      <w:r w:rsidR="006D549F"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Pr>
          <w:rFonts w:ascii="Times New Roman" w:hAnsi="Times New Roman"/>
          <w:color w:val="000000" w:themeColor="text1"/>
          <w:sz w:val="26"/>
          <w:szCs w:val="26"/>
          <w:lang w:eastAsia="zh-CN"/>
        </w:rPr>
        <w:t>WANG, QING</w:t>
      </w:r>
    </w:p>
    <w:p w14:paraId="1CE291C7" w14:textId="21748322"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385AC"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0FA2"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01C44002"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1CDF78C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143E4C13"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EDEC73C" w14:textId="1B88459C" w:rsidR="00322011" w:rsidRDefault="00322011" w:rsidP="00364AA9">
      <w:pPr>
        <w:pStyle w:val="BodyText"/>
        <w:ind w:right="336"/>
        <w:rPr>
          <w:rFonts w:ascii="Times New Roman" w:hAnsi="Times New Roman"/>
        </w:rPr>
      </w:pPr>
      <w:r>
        <w:rPr>
          <w:rFonts w:ascii="Times New Roman" w:hAnsi="Times New Roman"/>
        </w:rPr>
        <w:t xml:space="preserve">Địa chỉ liên lạc: </w:t>
      </w:r>
      <w:r w:rsidR="0012142B">
        <w:rPr>
          <w:rFonts w:ascii="Times New Roman" w:hAnsi="Times New Roman"/>
        </w:rPr>
        <w:t xml:space="preserve">Số XXX, Đường YYY, khu phố ZZZ, phường Tân Hiệp, Thành phố Tân Uyên, </w:t>
      </w:r>
      <w:r w:rsidR="008D34E1" w:rsidRPr="008D34E1">
        <w:rPr>
          <w:rFonts w:ascii="Times New Roman" w:hAnsi="Times New Roman"/>
        </w:rPr>
        <w:t>tỉnh Bình D</w:t>
      </w:r>
      <w:r w:rsidR="008D34E1" w:rsidRPr="008D34E1">
        <w:rPr>
          <w:rFonts w:ascii="Times New Roman" w:hAnsi="Times New Roman" w:hint="eastAsia"/>
        </w:rPr>
        <w:t>ươ</w:t>
      </w:r>
      <w:r w:rsidR="008D34E1" w:rsidRPr="008D34E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 xml:space="preserve">pháp luật của Công ty. Người đại diện theo pháp luật của Công ty thực </w:t>
      </w:r>
      <w:r w:rsidRPr="004F09F1">
        <w:rPr>
          <w:rFonts w:ascii="Times New Roman" w:hAnsi="Times New Roman"/>
        </w:rPr>
        <w:lastRenderedPageBreak/>
        <w:t>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064E3ACD"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lastRenderedPageBreak/>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8848093" w:rsidR="00D53050" w:rsidRPr="004F09F1" w:rsidRDefault="00596923"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0CE8F085" w14:textId="2BD35C2F"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lastRenderedPageBreak/>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7D4D8"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87F80"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4136056A"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E3541BF" w14:textId="6A90B723"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45728A1A"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529A06E7" w14:textId="00F4D0E1"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EB2A6F" w:rsidRPr="00EB2A6F">
        <w:rPr>
          <w:rFonts w:ascii="Times New Roman" w:hAnsi="Times New Roman"/>
          <w:color w:val="000000" w:themeColor="text1"/>
          <w:sz w:val="26"/>
          <w:szCs w:val="26"/>
          <w:lang w:val="vi" w:eastAsia="zh-CN"/>
        </w:rPr>
        <w:t>tỉnh Bình D</w:t>
      </w:r>
      <w:r w:rsidR="00EB2A6F" w:rsidRPr="00EB2A6F">
        <w:rPr>
          <w:rFonts w:ascii="Times New Roman" w:hAnsi="Times New Roman" w:hint="eastAsia"/>
          <w:color w:val="000000" w:themeColor="text1"/>
          <w:sz w:val="26"/>
          <w:szCs w:val="26"/>
          <w:lang w:val="vi" w:eastAsia="zh-CN"/>
        </w:rPr>
        <w:t>ươ</w:t>
      </w:r>
      <w:r w:rsidR="00EB2A6F" w:rsidRPr="00EB2A6F">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24735DB1" w:rsidR="00D53050" w:rsidRPr="004F09F1" w:rsidRDefault="00374248"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73095F77" w14:textId="74A02E0C"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59D0F0"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8BBBA"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40630325"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69B41168" w14:textId="0AA359E6"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5BD534F3"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73A7EC6" w14:textId="4F5A4210"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367F59" w:rsidRPr="00367F59">
        <w:rPr>
          <w:rFonts w:ascii="Times New Roman" w:hAnsi="Times New Roman"/>
          <w:color w:val="000000" w:themeColor="text1"/>
          <w:sz w:val="26"/>
          <w:szCs w:val="26"/>
          <w:lang w:val="vi" w:eastAsia="zh-CN"/>
        </w:rPr>
        <w:t>tỉnh Bình D</w:t>
      </w:r>
      <w:r w:rsidR="00367F59" w:rsidRPr="00367F59">
        <w:rPr>
          <w:rFonts w:ascii="Times New Roman" w:hAnsi="Times New Roman" w:hint="eastAsia"/>
          <w:color w:val="000000" w:themeColor="text1"/>
          <w:sz w:val="26"/>
          <w:szCs w:val="26"/>
          <w:lang w:val="vi" w:eastAsia="zh-CN"/>
        </w:rPr>
        <w:t>ươ</w:t>
      </w:r>
      <w:r w:rsidR="00367F59" w:rsidRPr="00367F59">
        <w:rPr>
          <w:rFonts w:ascii="Times New Roman" w:hAnsi="Times New Roman"/>
          <w:color w:val="000000" w:themeColor="text1"/>
          <w:sz w:val="26"/>
          <w:szCs w:val="26"/>
          <w:lang w:val="vi" w:eastAsia="zh-C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lastRenderedPageBreak/>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lastRenderedPageBreak/>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2A0E0E17" w:rsidR="00F07A4A" w:rsidRPr="0012142B" w:rsidRDefault="0071272D" w:rsidP="00D441F3">
      <w:pPr>
        <w:tabs>
          <w:tab w:val="center" w:pos="1440"/>
          <w:tab w:val="center" w:pos="7920"/>
        </w:tabs>
        <w:ind w:left="540" w:hanging="540"/>
        <w:jc w:val="right"/>
        <w:rPr>
          <w:rFonts w:ascii="Times New Roman" w:hAnsi="Times New Roman"/>
          <w:color w:val="000000" w:themeColor="text1"/>
          <w:sz w:val="26"/>
          <w:szCs w:val="26"/>
        </w:rPr>
      </w:pPr>
      <w:r w:rsidRPr="0012142B">
        <w:rPr>
          <w:rFonts w:ascii="Times New Roman" w:hAnsi="Times New Roman"/>
          <w:color w:val="000000" w:themeColor="text1"/>
          <w:sz w:val="26"/>
          <w:szCs w:val="26"/>
        </w:rPr>
        <w:t>Bình Dương</w:t>
      </w:r>
      <w:r w:rsidR="00D441F3" w:rsidRPr="0012142B">
        <w:rPr>
          <w:rFonts w:ascii="Times New Roman" w:hAnsi="Times New Roman"/>
          <w:color w:val="000000" w:themeColor="text1"/>
          <w:sz w:val="26"/>
          <w:szCs w:val="26"/>
          <w:lang w:val="vi-VN"/>
        </w:rPr>
        <w:t xml:space="preserve">, </w:t>
      </w:r>
      <w:r w:rsidR="007D31E0" w:rsidRPr="0012142B">
        <w:rPr>
          <w:rFonts w:ascii="Times New Roman" w:hAnsi="Times New Roman"/>
          <w:color w:val="000000" w:themeColor="text1"/>
          <w:sz w:val="26"/>
          <w:szCs w:val="26"/>
          <w:lang w:val="vi-VN"/>
        </w:rPr>
        <w:t xml:space="preserve">Ngày </w:t>
      </w:r>
      <w:r w:rsidR="0012142B" w:rsidRPr="0012142B">
        <w:rPr>
          <w:rFonts w:ascii="Times New Roman" w:hAnsi="Times New Roman"/>
          <w:color w:val="000000" w:themeColor="text1"/>
          <w:sz w:val="26"/>
          <w:szCs w:val="26"/>
        </w:rPr>
        <w:t>26</w:t>
      </w:r>
      <w:r w:rsidR="00106461" w:rsidRPr="0012142B">
        <w:rPr>
          <w:rFonts w:ascii="Times New Roman" w:hAnsi="Times New Roman"/>
          <w:color w:val="000000" w:themeColor="text1"/>
          <w:sz w:val="26"/>
          <w:szCs w:val="26"/>
          <w:lang w:val="vi-VN"/>
        </w:rPr>
        <w:t xml:space="preserve"> </w:t>
      </w:r>
      <w:r w:rsidR="007D31E0" w:rsidRPr="0012142B">
        <w:rPr>
          <w:rFonts w:ascii="Times New Roman" w:hAnsi="Times New Roman"/>
          <w:color w:val="000000" w:themeColor="text1"/>
          <w:sz w:val="26"/>
          <w:szCs w:val="26"/>
          <w:lang w:val="vi-VN"/>
        </w:rPr>
        <w:t xml:space="preserve">tháng </w:t>
      </w:r>
      <w:r w:rsidRPr="0012142B">
        <w:rPr>
          <w:rFonts w:ascii="Times New Roman" w:hAnsi="Times New Roman"/>
          <w:color w:val="000000" w:themeColor="text1"/>
          <w:sz w:val="26"/>
          <w:szCs w:val="26"/>
        </w:rPr>
        <w:t>03</w:t>
      </w:r>
      <w:r w:rsidR="00106461" w:rsidRPr="0012142B">
        <w:rPr>
          <w:rFonts w:ascii="Times New Roman" w:hAnsi="Times New Roman"/>
          <w:color w:val="000000" w:themeColor="text1"/>
          <w:sz w:val="26"/>
          <w:szCs w:val="26"/>
          <w:lang w:val="vi-VN"/>
        </w:rPr>
        <w:t xml:space="preserve"> </w:t>
      </w:r>
      <w:r w:rsidR="005008D8" w:rsidRPr="0012142B">
        <w:rPr>
          <w:rFonts w:ascii="Times New Roman" w:hAnsi="Times New Roman"/>
          <w:color w:val="000000" w:themeColor="text1"/>
          <w:sz w:val="26"/>
          <w:szCs w:val="26"/>
          <w:lang w:val="vi-VN"/>
        </w:rPr>
        <w:t>năm 202</w:t>
      </w:r>
      <w:r w:rsidR="00E812F6" w:rsidRPr="0012142B">
        <w:rPr>
          <w:rFonts w:ascii="Times New Roman" w:hAnsi="Times New Roman"/>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094DFB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F0016D">
        <w:rPr>
          <w:rFonts w:ascii="Times New Roman" w:hAnsi="Times New Roman"/>
          <w:color w:val="000000" w:themeColor="text1"/>
          <w:sz w:val="26"/>
          <w:szCs w:val="26"/>
          <w:lang w:val="vi-VN"/>
        </w:rPr>
        <w:t>WANG, QING</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D84E7C" w:rsidRPr="00D84E7C">
        <w:rPr>
          <w:rFonts w:ascii="Times New Roman" w:hAnsi="Times New Roman"/>
          <w:color w:val="000000" w:themeColor="text1"/>
          <w:sz w:val="26"/>
          <w:szCs w:val="26"/>
          <w:lang w:val="vi-VN"/>
        </w:rPr>
        <w:t>ĐỖ MINH D</w:t>
      </w:r>
      <w:r w:rsidR="00D84E7C" w:rsidRPr="00D84E7C">
        <w:rPr>
          <w:rFonts w:ascii="Times New Roman" w:hAnsi="Times New Roman" w:hint="eastAsia"/>
          <w:color w:val="000000" w:themeColor="text1"/>
          <w:sz w:val="26"/>
          <w:szCs w:val="26"/>
          <w:lang w:val="vi-VN"/>
        </w:rPr>
        <w:t>ƯƠ</w:t>
      </w:r>
      <w:r w:rsidR="00D84E7C" w:rsidRPr="00D84E7C">
        <w:rPr>
          <w:rFonts w:ascii="Times New Roman" w:hAnsi="Times New Roman"/>
          <w:color w:val="000000" w:themeColor="text1"/>
          <w:sz w:val="26"/>
          <w:szCs w:val="26"/>
          <w:lang w:val="vi-VN"/>
        </w:rPr>
        <w:t>NG</w:t>
      </w:r>
      <w:bookmarkStart w:id="1" w:name="_GoBack"/>
      <w:bookmarkEnd w:id="1"/>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425C69EB" w14:textId="77777777"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19C452AC" w14:textId="77777777" w:rsidR="00D27ECC" w:rsidRPr="004F09F1" w:rsidRDefault="00D27ECC" w:rsidP="00F07A4A">
      <w:pPr>
        <w:rPr>
          <w:rFonts w:ascii="Times New Roman" w:hAnsi="Times New Roman"/>
          <w:color w:val="000000" w:themeColor="text1"/>
          <w:sz w:val="26"/>
          <w:szCs w:val="26"/>
          <w:lang w:val="vi-VN"/>
        </w:rPr>
      </w:pP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70FDF" w14:textId="77777777" w:rsidR="00622B5E" w:rsidRDefault="00622B5E">
      <w:r>
        <w:separator/>
      </w:r>
    </w:p>
  </w:endnote>
  <w:endnote w:type="continuationSeparator" w:id="0">
    <w:p w14:paraId="1135DCCD" w14:textId="77777777" w:rsidR="00622B5E" w:rsidRDefault="0062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3E3F2FF8" w:rsidR="00D15B7C" w:rsidRDefault="00D15B7C">
        <w:pPr>
          <w:pStyle w:val="Footer"/>
          <w:jc w:val="center"/>
        </w:pPr>
        <w:r>
          <w:fldChar w:fldCharType="begin"/>
        </w:r>
        <w:r>
          <w:instrText xml:space="preserve"> PAGE   \* MERGEFORMAT </w:instrText>
        </w:r>
        <w:r>
          <w:fldChar w:fldCharType="separate"/>
        </w:r>
        <w:r w:rsidR="00D84E7C">
          <w:rPr>
            <w:noProof/>
          </w:rPr>
          <w:t>11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B835A" w14:textId="77777777" w:rsidR="00622B5E" w:rsidRDefault="00622B5E">
      <w:r>
        <w:separator/>
      </w:r>
    </w:p>
  </w:footnote>
  <w:footnote w:type="continuationSeparator" w:id="0">
    <w:p w14:paraId="7CE02D02" w14:textId="77777777" w:rsidR="00622B5E" w:rsidRDefault="00622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142B"/>
    <w:rsid w:val="00122EB2"/>
    <w:rsid w:val="00147BB7"/>
    <w:rsid w:val="00153789"/>
    <w:rsid w:val="00165A4E"/>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4248"/>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96923"/>
    <w:rsid w:val="005A53FA"/>
    <w:rsid w:val="005A636B"/>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055F6"/>
    <w:rsid w:val="00617161"/>
    <w:rsid w:val="00617929"/>
    <w:rsid w:val="00622B5E"/>
    <w:rsid w:val="00625B3A"/>
    <w:rsid w:val="0063698C"/>
    <w:rsid w:val="00642BEA"/>
    <w:rsid w:val="00645625"/>
    <w:rsid w:val="00647EF6"/>
    <w:rsid w:val="00653701"/>
    <w:rsid w:val="00654675"/>
    <w:rsid w:val="006569F7"/>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92E1C"/>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A2DB4"/>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84E7C"/>
    <w:rsid w:val="00DB2210"/>
    <w:rsid w:val="00DB2CB9"/>
    <w:rsid w:val="00DD3CC5"/>
    <w:rsid w:val="00DF506B"/>
    <w:rsid w:val="00DF5AF6"/>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016D"/>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3328-9E9F-4DF6-BEFD-DAE06EC0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150</cp:revision>
  <cp:lastPrinted>2024-10-08T15:40:00Z</cp:lastPrinted>
  <dcterms:created xsi:type="dcterms:W3CDTF">2021-12-03T01:02:00Z</dcterms:created>
  <dcterms:modified xsi:type="dcterms:W3CDTF">2025-03-25T14:42:00Z</dcterms:modified>
</cp:coreProperties>
</file>