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B90A29">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95BD8">
              <w:rPr>
                <w:rFonts w:ascii="Times New Roman" w:eastAsia="Times New Roman" w:hAnsi="Times New Roman" w:cs="Times New Roman"/>
                <w:i/>
                <w:sz w:val="26"/>
                <w:szCs w:val="26"/>
              </w:rPr>
              <w:t>25</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r w:rsidR="007E5659" w:rsidRPr="007E5659">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 xml:space="preserve">(Năm </w:t>
      </w:r>
      <w:r>
        <w:rPr>
          <w:rFonts w:ascii="Times New Roman" w:eastAsia="Times New Roman" w:hAnsi="Times New Roman" w:cs="Times New Roman"/>
          <w:sz w:val="28"/>
          <w:szCs w:val="28"/>
          <w:lang w:val="fr-FR"/>
        </w:rPr>
        <w:t xml:space="preserve">tỷ </w:t>
      </w:r>
      <w:r>
        <w:rPr>
          <w:rFonts w:ascii="Times New Roman" w:eastAsia="Times New Roman" w:hAnsi="Times New Roman" w:cs="Times New Roman"/>
          <w:sz w:val="28"/>
          <w:szCs w:val="28"/>
          <w:lang w:val="fr-FR"/>
        </w:rPr>
        <w:t>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EB3738">
        <w:rPr>
          <w:rFonts w:ascii="Times New Roman" w:eastAsia="Times New Roman" w:hAnsi="Times New Roman" w:cs="Times New Roman"/>
          <w:sz w:val="28"/>
          <w:szCs w:val="28"/>
          <w:lang w:val="fr-FR"/>
        </w:rPr>
        <w:t>25/08/2025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3686"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7A0B0B">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2E74F8"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 trụ sở chính sau khi thay đổi do sáp nhập tỉnh thành:</w:t>
      </w:r>
      <w:r w:rsidRPr="008F494E">
        <w:t xml:space="preserve"> </w:t>
      </w:r>
      <w:r w:rsidR="002E74F8" w:rsidRPr="002E74F8">
        <w:rPr>
          <w:rFonts w:ascii="Times New Roman" w:eastAsia="Calibri" w:hAnsi="Times New Roman" w:cs="Times New Roman"/>
          <w:bCs/>
          <w:sz w:val="28"/>
          <w:szCs w:val="28"/>
        </w:rPr>
        <w:t xml:space="preserve">Số 883/23 Lê Hồng Phong, Khu 07, Phường Thủ Dầu Một, Thành phố Hồ Chí Minh, Việt Nam </w:t>
      </w:r>
    </w:p>
    <w:p w:rsidR="002E74F8" w:rsidRPr="002E74F8"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w:t>
      </w:r>
      <w:r w:rsidR="00F5497D">
        <w:rPr>
          <w:rFonts w:ascii="Times New Roman" w:eastAsia="Calibri" w:hAnsi="Times New Roman" w:cs="Times New Roman"/>
          <w:bCs/>
          <w:sz w:val="28"/>
          <w:szCs w:val="28"/>
        </w:rPr>
        <w:t xml:space="preserve"> liên lạc</w:t>
      </w:r>
      <w:r w:rsidRPr="002E74F8">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bà </w:t>
      </w:r>
      <w:r w:rsidRPr="002E74F8">
        <w:rPr>
          <w:rFonts w:ascii="Times New Roman" w:eastAsia="Calibri" w:hAnsi="Times New Roman" w:cs="Times New Roman"/>
          <w:bCs/>
          <w:sz w:val="28"/>
          <w:szCs w:val="28"/>
        </w:rPr>
        <w:t>TRẦN THỊ THU HIỀN sau khi thay đổi do sáp nhập tỉnh thành:</w:t>
      </w:r>
      <w:r w:rsidRPr="008F494E">
        <w:t xml:space="preserve"> </w:t>
      </w:r>
      <w:r w:rsidRPr="002E74F8">
        <w:rPr>
          <w:rFonts w:ascii="Times New Roman" w:eastAsia="Calibri" w:hAnsi="Times New Roman" w:cs="Times New Roman"/>
          <w:bCs/>
          <w:sz w:val="28"/>
          <w:szCs w:val="28"/>
        </w:rPr>
        <w:t>Số 883/23 Lê Hồng Phong, Khu 07, Phường Thủ Dầu Một, Thành phố Hồ Chí Minh, Việt Nam</w:t>
      </w:r>
    </w:p>
    <w:p w:rsidR="007E5659" w:rsidRPr="007E5659" w:rsidRDefault="007E5659" w:rsidP="002E74F8">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B855E5" w:rsidP="006270BF">
      <w:pPr>
        <w:spacing w:after="0" w:line="240" w:lineRule="auto"/>
      </w:pPr>
      <w:bookmarkStart w:id="5" w:name="_GoBack"/>
      <w:bookmarkEnd w:id="5"/>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5E5" w:rsidRDefault="00B855E5" w:rsidP="007E5659">
      <w:pPr>
        <w:spacing w:after="0" w:line="240" w:lineRule="auto"/>
      </w:pPr>
      <w:r>
        <w:separator/>
      </w:r>
    </w:p>
  </w:endnote>
  <w:endnote w:type="continuationSeparator" w:id="0">
    <w:p w:rsidR="00B855E5" w:rsidRDefault="00B855E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5E5" w:rsidRDefault="00B855E5" w:rsidP="007E5659">
      <w:pPr>
        <w:spacing w:after="0" w:line="240" w:lineRule="auto"/>
      </w:pPr>
      <w:r>
        <w:separator/>
      </w:r>
    </w:p>
  </w:footnote>
  <w:footnote w:type="continuationSeparator" w:id="0">
    <w:p w:rsidR="00B855E5" w:rsidRDefault="00B855E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F4617"/>
    <w:rsid w:val="00272A50"/>
    <w:rsid w:val="002A5E8C"/>
    <w:rsid w:val="002E74F8"/>
    <w:rsid w:val="0030763D"/>
    <w:rsid w:val="00361BFD"/>
    <w:rsid w:val="00395BD8"/>
    <w:rsid w:val="003A0296"/>
    <w:rsid w:val="003E44A1"/>
    <w:rsid w:val="004F0A01"/>
    <w:rsid w:val="005506E3"/>
    <w:rsid w:val="00593297"/>
    <w:rsid w:val="005A40DA"/>
    <w:rsid w:val="005C1869"/>
    <w:rsid w:val="005F2810"/>
    <w:rsid w:val="006270BF"/>
    <w:rsid w:val="0063799F"/>
    <w:rsid w:val="00642D81"/>
    <w:rsid w:val="0068640C"/>
    <w:rsid w:val="006F628F"/>
    <w:rsid w:val="007A0B0B"/>
    <w:rsid w:val="007E5659"/>
    <w:rsid w:val="008778AF"/>
    <w:rsid w:val="008C4824"/>
    <w:rsid w:val="008F3E37"/>
    <w:rsid w:val="00925693"/>
    <w:rsid w:val="00931883"/>
    <w:rsid w:val="009417F9"/>
    <w:rsid w:val="00942F23"/>
    <w:rsid w:val="00A92FBC"/>
    <w:rsid w:val="00B03790"/>
    <w:rsid w:val="00B855E5"/>
    <w:rsid w:val="00B90A29"/>
    <w:rsid w:val="00C33B48"/>
    <w:rsid w:val="00D00ABF"/>
    <w:rsid w:val="00D74798"/>
    <w:rsid w:val="00E54740"/>
    <w:rsid w:val="00EB3738"/>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5E88"/>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34</cp:revision>
  <dcterms:created xsi:type="dcterms:W3CDTF">2025-07-14T03:10:00Z</dcterms:created>
  <dcterms:modified xsi:type="dcterms:W3CDTF">2025-08-19T07:46:00Z</dcterms:modified>
</cp:coreProperties>
</file>