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714EC6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3D2305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SẢN XUẤT VÀ THƯƠNG MẠI DỊCH VỤ NỘI THẤT VIỆT DŨNG</w:t>
            </w:r>
            <w:r w:rsidR="00674E20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Độc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lập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do -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Hạnh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phúc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714EC6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2D0BBA"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3D2305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Hồ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Chí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Minh,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3D2305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31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tháng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3D2305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10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năm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2025</w:t>
            </w:r>
          </w:p>
        </w:tc>
      </w:tr>
    </w:tbl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3D2305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SẢN XUẤT VÀ THƯƠNG MẠI DỊCH VỤ NỘI THẤT VIỆT DŨNG</w:t>
      </w:r>
    </w:p>
    <w:p w:rsidR="00674E20" w:rsidRPr="00714EC6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Về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việc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thay</w:t>
      </w:r>
      <w:proofErr w:type="spellEnd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>đổi</w:t>
      </w:r>
      <w:proofErr w:type="spellEnd"/>
      <w:r w:rsidR="00B305DF" w:rsidRPr="00714EC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địa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chỉ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trụ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sở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và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góp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của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thành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viên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,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tăng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điều</w:t>
      </w:r>
      <w:proofErr w:type="spellEnd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B409B">
        <w:rPr>
          <w:rFonts w:ascii="Times New Roman" w:eastAsia="Times New Roman" w:hAnsi="Times New Roman" w:cs="Times New Roman"/>
          <w:bCs/>
          <w:i/>
          <w:sz w:val="28"/>
          <w:szCs w:val="28"/>
        </w:rPr>
        <w:t>lệ</w:t>
      </w:r>
      <w:proofErr w:type="spellEnd"/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714EC6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Luật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Doanh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nghiệp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số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59/2020/QH14 ban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hành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17/06/2020;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điều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lệ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3D2305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SẢN XUẤT VÀ THƯƠNG MẠI DỊCH VỤ NỘI THẤT VIỆT DŨNG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biên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bản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họp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Hội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đồng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thành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viên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193BA7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31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</w:t>
      </w:r>
      <w:r w:rsidR="00193BA7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10</w:t>
      </w: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/2025;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tình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hình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hoạt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động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công</w:t>
      </w:r>
      <w:proofErr w:type="spellEnd"/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ty.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714EC6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714EC6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B305DF" w:rsidRPr="00714EC6" w:rsidRDefault="00B305DF" w:rsidP="00E16169">
      <w:pPr>
        <w:pStyle w:val="ListParagraph"/>
        <w:spacing w:after="120" w:line="240" w:lineRule="auto"/>
        <w:ind w:left="1080" w:right="0"/>
        <w:jc w:val="both"/>
        <w:rPr>
          <w:rFonts w:ascii="Times New Roman" w:hAnsi="Times New Roman"/>
          <w:sz w:val="28"/>
          <w:szCs w:val="28"/>
        </w:rPr>
      </w:pPr>
    </w:p>
    <w:p w:rsidR="00E16169" w:rsidRPr="00714EC6" w:rsidRDefault="00674E20" w:rsidP="00714EC6">
      <w:pPr>
        <w:spacing w:after="120" w:line="240" w:lineRule="auto"/>
        <w:ind w:right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14EC6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714E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0FD2">
        <w:rPr>
          <w:rFonts w:ascii="Times New Roman" w:hAnsi="Times New Roman" w:cs="Times New Roman"/>
          <w:b/>
          <w:sz w:val="28"/>
          <w:szCs w:val="28"/>
        </w:rPr>
        <w:t>1</w:t>
      </w:r>
      <w:r w:rsidRPr="00714EC6">
        <w:rPr>
          <w:rFonts w:ascii="Times New Roman" w:hAnsi="Times New Roman" w:cs="Times New Roman"/>
          <w:b/>
          <w:sz w:val="28"/>
          <w:szCs w:val="28"/>
        </w:rPr>
        <w:t>:</w:t>
      </w:r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6169" w:rsidRPr="00714EC6">
        <w:rPr>
          <w:rFonts w:ascii="Times New Roman" w:hAnsi="Times New Roman" w:cs="Times New Roman"/>
          <w:sz w:val="28"/>
          <w:szCs w:val="28"/>
        </w:rPr>
        <w:t>T</w:t>
      </w:r>
      <w:r w:rsidR="009F7A45" w:rsidRPr="00714EC6">
        <w:rPr>
          <w:rFonts w:ascii="Times New Roman" w:hAnsi="Times New Roman" w:cs="Times New Roman"/>
          <w:sz w:val="28"/>
          <w:szCs w:val="28"/>
        </w:rPr>
        <w:t>hay</w:t>
      </w:r>
      <w:proofErr w:type="spellEnd"/>
      <w:r w:rsidR="009F7A4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A45" w:rsidRPr="00714EC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F7A4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2C3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="00BF0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2C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BF0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2C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F02C3">
        <w:rPr>
          <w:rFonts w:ascii="Times New Roman" w:hAnsi="Times New Roman" w:cs="Times New Roman"/>
          <w:sz w:val="28"/>
          <w:szCs w:val="28"/>
        </w:rPr>
        <w:t xml:space="preserve"> ty</w:t>
      </w:r>
      <w:r w:rsidR="00E16169"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.</w:t>
      </w:r>
    </w:p>
    <w:p w:rsidR="00674E20" w:rsidRDefault="00BF02C3" w:rsidP="00BF02C3">
      <w:pPr>
        <w:pStyle w:val="ListParagraph"/>
        <w:numPr>
          <w:ilvl w:val="0"/>
          <w:numId w:val="5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40B7F">
        <w:rPr>
          <w:rFonts w:ascii="Times New Roman" w:hAnsi="Times New Roman"/>
          <w:sz w:val="28"/>
          <w:szCs w:val="28"/>
        </w:rPr>
        <w:t>Địa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chỉ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trước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thay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đổi</w:t>
      </w:r>
      <w:proofErr w:type="spellEnd"/>
      <w:r w:rsidRPr="00BF02C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02C3">
        <w:rPr>
          <w:rFonts w:ascii="Times New Roman" w:hAnsi="Times New Roman"/>
          <w:sz w:val="28"/>
          <w:szCs w:val="28"/>
        </w:rPr>
        <w:t xml:space="preserve">Ô 30B, DC 07 </w:t>
      </w:r>
      <w:proofErr w:type="spellStart"/>
      <w:r w:rsidRPr="00BF02C3">
        <w:rPr>
          <w:rFonts w:ascii="Times New Roman" w:hAnsi="Times New Roman"/>
          <w:sz w:val="28"/>
          <w:szCs w:val="28"/>
        </w:rPr>
        <w:t>Đường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D35, KDC </w:t>
      </w:r>
      <w:proofErr w:type="spellStart"/>
      <w:r w:rsidRPr="00BF02C3">
        <w:rPr>
          <w:rFonts w:ascii="Times New Roman" w:hAnsi="Times New Roman"/>
          <w:sz w:val="28"/>
          <w:szCs w:val="28"/>
        </w:rPr>
        <w:t>Việt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Sing, </w:t>
      </w:r>
      <w:proofErr w:type="spellStart"/>
      <w:r w:rsidRPr="00BF02C3">
        <w:rPr>
          <w:rFonts w:ascii="Times New Roman" w:hAnsi="Times New Roman"/>
          <w:sz w:val="28"/>
          <w:szCs w:val="28"/>
        </w:rPr>
        <w:t>Phường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02C3">
        <w:rPr>
          <w:rFonts w:ascii="Times New Roman" w:hAnsi="Times New Roman"/>
          <w:sz w:val="28"/>
          <w:szCs w:val="28"/>
        </w:rPr>
        <w:t>An</w:t>
      </w:r>
      <w:proofErr w:type="gram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Phú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F02C3">
        <w:rPr>
          <w:rFonts w:ascii="Times New Roman" w:hAnsi="Times New Roman"/>
          <w:sz w:val="28"/>
          <w:szCs w:val="28"/>
        </w:rPr>
        <w:t>Thành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phố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Hồ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Chí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Pr="00BF02C3">
        <w:rPr>
          <w:rFonts w:ascii="Times New Roman" w:hAnsi="Times New Roman"/>
          <w:sz w:val="28"/>
          <w:szCs w:val="28"/>
        </w:rPr>
        <w:t>Việt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Nam</w:t>
      </w:r>
    </w:p>
    <w:p w:rsidR="00BF02C3" w:rsidRPr="00BF02C3" w:rsidRDefault="00BF02C3" w:rsidP="00BF02C3">
      <w:pPr>
        <w:pStyle w:val="ListParagraph"/>
        <w:numPr>
          <w:ilvl w:val="0"/>
          <w:numId w:val="5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40B7F">
        <w:rPr>
          <w:rFonts w:ascii="Times New Roman" w:hAnsi="Times New Roman"/>
          <w:sz w:val="28"/>
          <w:szCs w:val="28"/>
        </w:rPr>
        <w:t>Địa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chỉ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sau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thay</w:t>
      </w:r>
      <w:proofErr w:type="spellEnd"/>
      <w:r w:rsidRPr="00A40B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B7F">
        <w:rPr>
          <w:rFonts w:ascii="Times New Roman" w:hAnsi="Times New Roman"/>
          <w:sz w:val="28"/>
          <w:szCs w:val="28"/>
        </w:rPr>
        <w:t>đổi</w:t>
      </w:r>
      <w:proofErr w:type="spellEnd"/>
      <w:r w:rsidRPr="00BF02C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02C3">
        <w:rPr>
          <w:rFonts w:ascii="Times New Roman" w:hAnsi="Times New Roman"/>
          <w:sz w:val="28"/>
          <w:szCs w:val="28"/>
        </w:rPr>
        <w:t xml:space="preserve">Ô 27 </w:t>
      </w:r>
      <w:proofErr w:type="spellStart"/>
      <w:r w:rsidRPr="00BF02C3">
        <w:rPr>
          <w:rFonts w:ascii="Times New Roman" w:hAnsi="Times New Roman"/>
          <w:sz w:val="28"/>
          <w:szCs w:val="28"/>
        </w:rPr>
        <w:t>và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28 </w:t>
      </w:r>
      <w:proofErr w:type="spellStart"/>
      <w:r w:rsidRPr="00BF02C3">
        <w:rPr>
          <w:rFonts w:ascii="Times New Roman" w:hAnsi="Times New Roman"/>
          <w:sz w:val="28"/>
          <w:szCs w:val="28"/>
        </w:rPr>
        <w:t>Lô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DC 08 </w:t>
      </w:r>
      <w:proofErr w:type="spellStart"/>
      <w:r w:rsidRPr="00BF02C3">
        <w:rPr>
          <w:rFonts w:ascii="Times New Roman" w:hAnsi="Times New Roman"/>
          <w:sz w:val="28"/>
          <w:szCs w:val="28"/>
        </w:rPr>
        <w:t>Đường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D35, KDC </w:t>
      </w:r>
      <w:proofErr w:type="spellStart"/>
      <w:r w:rsidRPr="00BF02C3">
        <w:rPr>
          <w:rFonts w:ascii="Times New Roman" w:hAnsi="Times New Roman"/>
          <w:sz w:val="28"/>
          <w:szCs w:val="28"/>
        </w:rPr>
        <w:t>Việt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Sing, </w:t>
      </w:r>
      <w:proofErr w:type="spellStart"/>
      <w:r w:rsidRPr="00BF02C3">
        <w:rPr>
          <w:rFonts w:ascii="Times New Roman" w:hAnsi="Times New Roman"/>
          <w:sz w:val="28"/>
          <w:szCs w:val="28"/>
        </w:rPr>
        <w:t>Phường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02C3">
        <w:rPr>
          <w:rFonts w:ascii="Times New Roman" w:hAnsi="Times New Roman"/>
          <w:sz w:val="28"/>
          <w:szCs w:val="28"/>
        </w:rPr>
        <w:t>An</w:t>
      </w:r>
      <w:proofErr w:type="gram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Phú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F02C3">
        <w:rPr>
          <w:rFonts w:ascii="Times New Roman" w:hAnsi="Times New Roman"/>
          <w:sz w:val="28"/>
          <w:szCs w:val="28"/>
        </w:rPr>
        <w:t>Thành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phố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Hồ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02C3">
        <w:rPr>
          <w:rFonts w:ascii="Times New Roman" w:hAnsi="Times New Roman"/>
          <w:sz w:val="28"/>
          <w:szCs w:val="28"/>
        </w:rPr>
        <w:t>Chí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Pr="00BF02C3">
        <w:rPr>
          <w:rFonts w:ascii="Times New Roman" w:hAnsi="Times New Roman"/>
          <w:sz w:val="28"/>
          <w:szCs w:val="28"/>
        </w:rPr>
        <w:t>Việt</w:t>
      </w:r>
      <w:proofErr w:type="spellEnd"/>
      <w:r w:rsidRPr="00BF02C3">
        <w:rPr>
          <w:rFonts w:ascii="Times New Roman" w:hAnsi="Times New Roman"/>
          <w:sz w:val="28"/>
          <w:szCs w:val="28"/>
        </w:rPr>
        <w:t xml:space="preserve"> Nam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7C7" w:rsidRDefault="005E27C7" w:rsidP="005E27C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FD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Tăng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vốn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điều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lệ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công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ty</w:t>
      </w:r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1.0</w:t>
      </w:r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00.000.000 </w:t>
      </w:r>
      <w:proofErr w:type="gram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VNĐ(</w:t>
      </w:r>
      <w:proofErr w:type="spellStart"/>
      <w:proofErr w:type="gramEnd"/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Một</w:t>
      </w:r>
      <w:proofErr w:type="spellEnd"/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tỷ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đồng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)</w:t>
      </w:r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4EC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3</w:t>
      </w:r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.000.000.000 VNĐ(</w:t>
      </w:r>
      <w:r w:rsidR="00455ACD">
        <w:rPr>
          <w:rStyle w:val="Strong"/>
          <w:rFonts w:ascii="Times New Roman" w:hAnsi="Times New Roman" w:cs="Times New Roman"/>
          <w:b w:val="0"/>
          <w:sz w:val="26"/>
          <w:szCs w:val="26"/>
        </w:rPr>
        <w:t>Ba</w:t>
      </w:r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tỷ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đồng</w:t>
      </w:r>
      <w:proofErr w:type="spellEnd"/>
      <w:r w:rsidRPr="00714EC6">
        <w:rPr>
          <w:rStyle w:val="Strong"/>
          <w:rFonts w:ascii="Times New Roman" w:hAnsi="Times New Roman" w:cs="Times New Roman"/>
          <w:b w:val="0"/>
          <w:sz w:val="26"/>
          <w:szCs w:val="26"/>
        </w:rPr>
        <w:t>)</w:t>
      </w:r>
      <w:r w:rsidRPr="00714EC6">
        <w:rPr>
          <w:rFonts w:ascii="Times New Roman" w:hAnsi="Times New Roman" w:cs="Times New Roman"/>
          <w:sz w:val="28"/>
          <w:szCs w:val="28"/>
        </w:rPr>
        <w:t>.</w:t>
      </w:r>
    </w:p>
    <w:p w:rsidR="00455ACD" w:rsidRDefault="00455ACD" w:rsidP="005E27C7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55ACD" w:rsidRDefault="00455ACD" w:rsidP="00455ACD">
      <w:pPr>
        <w:pStyle w:val="ListParagraph"/>
        <w:numPr>
          <w:ilvl w:val="0"/>
          <w:numId w:val="5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Bùi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số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455ACD">
        <w:rPr>
          <w:rFonts w:ascii="Times New Roman" w:hAnsi="Times New Roman"/>
          <w:sz w:val="28"/>
          <w:szCs w:val="28"/>
        </w:rPr>
        <w:t>đầu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là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900.000.000 </w:t>
      </w:r>
      <w:proofErr w:type="gramStart"/>
      <w:r w:rsidRPr="00455ACD">
        <w:rPr>
          <w:rFonts w:ascii="Times New Roman" w:hAnsi="Times New Roman"/>
          <w:sz w:val="28"/>
          <w:szCs w:val="28"/>
        </w:rPr>
        <w:t>VNĐ(</w:t>
      </w:r>
      <w:proofErr w:type="spellStart"/>
      <w:proofErr w:type="gramEnd"/>
      <w:r w:rsidRPr="00455ACD">
        <w:rPr>
          <w:rFonts w:ascii="Times New Roman" w:hAnsi="Times New Roman"/>
          <w:sz w:val="28"/>
          <w:szCs w:val="28"/>
        </w:rPr>
        <w:t>Chín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455ACD">
        <w:rPr>
          <w:rFonts w:ascii="Times New Roman" w:hAnsi="Times New Roman"/>
          <w:sz w:val="28"/>
          <w:szCs w:val="28"/>
        </w:rPr>
        <w:t>số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thêm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1.600.000.000 VNĐ(</w:t>
      </w:r>
      <w:proofErr w:type="spellStart"/>
      <w:r w:rsidRPr="00455ACD">
        <w:rPr>
          <w:rFonts w:ascii="Times New Roman" w:hAnsi="Times New Roman"/>
          <w:sz w:val="28"/>
          <w:szCs w:val="28"/>
        </w:rPr>
        <w:t>Một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tỷ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sáu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455ACD">
        <w:rPr>
          <w:rFonts w:ascii="Times New Roman" w:hAnsi="Times New Roman"/>
          <w:sz w:val="28"/>
          <w:szCs w:val="28"/>
        </w:rPr>
        <w:t>tổng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2.500.000.000 VNĐ (Hai </w:t>
      </w:r>
      <w:proofErr w:type="spellStart"/>
      <w:r w:rsidRPr="00455ACD">
        <w:rPr>
          <w:rFonts w:ascii="Times New Roman" w:hAnsi="Times New Roman"/>
          <w:sz w:val="28"/>
          <w:szCs w:val="28"/>
        </w:rPr>
        <w:t>tỷ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năm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455ACD">
        <w:rPr>
          <w:rFonts w:ascii="Times New Roman" w:hAnsi="Times New Roman"/>
          <w:sz w:val="28"/>
          <w:szCs w:val="28"/>
        </w:rPr>
        <w:t>Chiếm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83,33%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điều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lệ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của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công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455ACD">
        <w:rPr>
          <w:rFonts w:ascii="Times New Roman" w:hAnsi="Times New Roman"/>
          <w:sz w:val="28"/>
          <w:szCs w:val="28"/>
        </w:rPr>
        <w:t>là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3.000.000.000 </w:t>
      </w:r>
      <w:proofErr w:type="gramStart"/>
      <w:r w:rsidRPr="00455ACD">
        <w:rPr>
          <w:rFonts w:ascii="Times New Roman" w:hAnsi="Times New Roman"/>
          <w:sz w:val="28"/>
          <w:szCs w:val="28"/>
        </w:rPr>
        <w:t>VNĐ(</w:t>
      </w:r>
      <w:proofErr w:type="gramEnd"/>
      <w:r w:rsidRPr="00455ACD">
        <w:rPr>
          <w:rFonts w:ascii="Times New Roman" w:hAnsi="Times New Roman"/>
          <w:sz w:val="28"/>
          <w:szCs w:val="28"/>
        </w:rPr>
        <w:t xml:space="preserve">Ba </w:t>
      </w:r>
      <w:proofErr w:type="spellStart"/>
      <w:r w:rsidRPr="00455ACD">
        <w:rPr>
          <w:rFonts w:ascii="Times New Roman" w:hAnsi="Times New Roman"/>
          <w:sz w:val="28"/>
          <w:szCs w:val="28"/>
        </w:rPr>
        <w:t>tỷ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>)</w:t>
      </w:r>
    </w:p>
    <w:p w:rsidR="00455ACD" w:rsidRDefault="00455ACD" w:rsidP="00455ACD">
      <w:pPr>
        <w:pStyle w:val="ListParagraph"/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</w:p>
    <w:p w:rsidR="00455ACD" w:rsidRPr="00455ACD" w:rsidRDefault="00455ACD" w:rsidP="00455ACD">
      <w:pPr>
        <w:pStyle w:val="ListParagraph"/>
        <w:numPr>
          <w:ilvl w:val="0"/>
          <w:numId w:val="5"/>
        </w:numPr>
        <w:spacing w:after="120" w:line="240" w:lineRule="auto"/>
        <w:ind w:right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số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455ACD">
        <w:rPr>
          <w:rFonts w:ascii="Times New Roman" w:hAnsi="Times New Roman"/>
          <w:sz w:val="28"/>
          <w:szCs w:val="28"/>
        </w:rPr>
        <w:t>đầu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là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100.000.000 </w:t>
      </w:r>
      <w:proofErr w:type="gramStart"/>
      <w:r w:rsidRPr="00455ACD">
        <w:rPr>
          <w:rFonts w:ascii="Times New Roman" w:hAnsi="Times New Roman"/>
          <w:sz w:val="28"/>
          <w:szCs w:val="28"/>
        </w:rPr>
        <w:t>VNĐ(</w:t>
      </w:r>
      <w:proofErr w:type="spellStart"/>
      <w:proofErr w:type="gramEnd"/>
      <w:r w:rsidRPr="00455ACD">
        <w:rPr>
          <w:rFonts w:ascii="Times New Roman" w:hAnsi="Times New Roman"/>
          <w:sz w:val="28"/>
          <w:szCs w:val="28"/>
        </w:rPr>
        <w:t>Một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455ACD">
        <w:rPr>
          <w:rFonts w:ascii="Times New Roman" w:hAnsi="Times New Roman"/>
          <w:sz w:val="28"/>
          <w:szCs w:val="28"/>
        </w:rPr>
        <w:t>số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thêm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400.000.000 VNĐ(</w:t>
      </w:r>
      <w:proofErr w:type="spellStart"/>
      <w:r w:rsidRPr="00455ACD">
        <w:rPr>
          <w:rFonts w:ascii="Times New Roman" w:hAnsi="Times New Roman"/>
          <w:sz w:val="28"/>
          <w:szCs w:val="28"/>
        </w:rPr>
        <w:t>Bốn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455ACD">
        <w:rPr>
          <w:rFonts w:ascii="Times New Roman" w:hAnsi="Times New Roman"/>
          <w:sz w:val="28"/>
          <w:szCs w:val="28"/>
        </w:rPr>
        <w:t>tổng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góp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500.000.000 VNĐ (</w:t>
      </w:r>
      <w:proofErr w:type="spellStart"/>
      <w:r w:rsidRPr="00455ACD">
        <w:rPr>
          <w:rFonts w:ascii="Times New Roman" w:hAnsi="Times New Roman"/>
          <w:sz w:val="28"/>
          <w:szCs w:val="28"/>
        </w:rPr>
        <w:t>Năm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trăm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triệu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Pr="00455ACD">
        <w:rPr>
          <w:rFonts w:ascii="Times New Roman" w:hAnsi="Times New Roman"/>
          <w:sz w:val="28"/>
          <w:szCs w:val="28"/>
        </w:rPr>
        <w:t>Chiếm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16,67% </w:t>
      </w:r>
      <w:proofErr w:type="spellStart"/>
      <w:r w:rsidRPr="00455ACD">
        <w:rPr>
          <w:rFonts w:ascii="Times New Roman" w:hAnsi="Times New Roman"/>
          <w:sz w:val="28"/>
          <w:szCs w:val="28"/>
        </w:rPr>
        <w:t>vốn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điều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lệ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của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công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455ACD">
        <w:rPr>
          <w:rFonts w:ascii="Times New Roman" w:hAnsi="Times New Roman"/>
          <w:sz w:val="28"/>
          <w:szCs w:val="28"/>
        </w:rPr>
        <w:t>là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3.000.000.000 </w:t>
      </w:r>
      <w:proofErr w:type="gramStart"/>
      <w:r w:rsidRPr="00455ACD">
        <w:rPr>
          <w:rFonts w:ascii="Times New Roman" w:hAnsi="Times New Roman"/>
          <w:sz w:val="28"/>
          <w:szCs w:val="28"/>
        </w:rPr>
        <w:t>VNĐ(</w:t>
      </w:r>
      <w:proofErr w:type="gramEnd"/>
      <w:r w:rsidRPr="00455ACD">
        <w:rPr>
          <w:rFonts w:ascii="Times New Roman" w:hAnsi="Times New Roman"/>
          <w:sz w:val="28"/>
          <w:szCs w:val="28"/>
        </w:rPr>
        <w:t xml:space="preserve">Ba </w:t>
      </w:r>
      <w:proofErr w:type="spellStart"/>
      <w:r w:rsidRPr="00455ACD">
        <w:rPr>
          <w:rFonts w:ascii="Times New Roman" w:hAnsi="Times New Roman"/>
          <w:sz w:val="28"/>
          <w:szCs w:val="28"/>
        </w:rPr>
        <w:t>tỷ</w:t>
      </w:r>
      <w:proofErr w:type="spellEnd"/>
      <w:r w:rsidRPr="004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5ACD">
        <w:rPr>
          <w:rFonts w:ascii="Times New Roman" w:hAnsi="Times New Roman"/>
          <w:sz w:val="28"/>
          <w:szCs w:val="28"/>
        </w:rPr>
        <w:t>đồng</w:t>
      </w:r>
      <w:proofErr w:type="spellEnd"/>
      <w:r w:rsidRPr="00455ACD">
        <w:rPr>
          <w:rFonts w:ascii="Times New Roman" w:hAnsi="Times New Roman"/>
          <w:sz w:val="28"/>
          <w:szCs w:val="28"/>
        </w:rPr>
        <w:t>)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Điều</w:t>
      </w:r>
      <w:proofErr w:type="spellEnd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FD2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14EC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14EC6">
        <w:rPr>
          <w:rFonts w:ascii="Times New Roman" w:hAnsi="Times New Roman" w:cs="Times New Roman"/>
          <w:sz w:val="28"/>
          <w:szCs w:val="28"/>
        </w:rPr>
        <w:t>.</w:t>
      </w:r>
    </w:p>
    <w:p w:rsidR="00674E20" w:rsidRPr="00714EC6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4EC6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193BA7" w:rsidRPr="00714EC6" w:rsidRDefault="00674E20" w:rsidP="00193BA7">
      <w:pPr>
        <w:spacing w:after="120" w:line="240" w:lineRule="auto"/>
        <w:ind w:left="0" w:right="0" w:firstLine="36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714EC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A0FD2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714E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C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14EC6">
        <w:rPr>
          <w:rFonts w:ascii="Times New Roman" w:hAnsi="Times New Roman" w:cs="Times New Roman"/>
          <w:sz w:val="28"/>
          <w:szCs w:val="28"/>
        </w:rPr>
        <w:t>.</w:t>
      </w:r>
    </w:p>
    <w:p w:rsidR="00674E20" w:rsidRPr="00714EC6" w:rsidRDefault="00674E20" w:rsidP="00193BA7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714EC6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nhận</w:t>
            </w:r>
            <w:proofErr w:type="spellEnd"/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: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5A6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B83027" w:rsidRPr="00714EC6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74E20" w:rsidRPr="00714EC6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4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714E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2A2D9C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M</w:t>
            </w: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.</w:t>
            </w:r>
            <w:r w:rsidR="00674E20"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HỘI ĐỒNG THÀNH VIÊN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ghi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rõ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họ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tên</w:t>
            </w:r>
            <w:proofErr w:type="spellEnd"/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)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714EC6" w:rsidRDefault="00193BA7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193BA7">
              <w:rPr>
                <w:rFonts w:ascii="Times New Roman" w:hAnsi="Times New Roman" w:cs="Times New Roman"/>
                <w:sz w:val="28"/>
                <w:szCs w:val="28"/>
              </w:rPr>
              <w:t>BÙI VIỆT DŨNG</w:t>
            </w:r>
            <w:bookmarkStart w:id="0" w:name="_GoBack"/>
            <w:bookmarkEnd w:id="0"/>
            <w:r w:rsidR="00674E20"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714EC6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714EC6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714EC6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14EC6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714EC6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714EC6" w:rsidRDefault="009C0753" w:rsidP="00674E20">
      <w:pPr>
        <w:rPr>
          <w:rFonts w:ascii="Times New Roman" w:hAnsi="Times New Roman" w:cs="Times New Roman"/>
        </w:rPr>
      </w:pPr>
    </w:p>
    <w:sectPr w:rsidR="009C0753" w:rsidRPr="00714EC6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5780"/>
    <w:multiLevelType w:val="hybridMultilevel"/>
    <w:tmpl w:val="435EF46C"/>
    <w:lvl w:ilvl="0" w:tplc="49C45A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3D82"/>
    <w:multiLevelType w:val="hybridMultilevel"/>
    <w:tmpl w:val="C2060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5ED6"/>
    <w:multiLevelType w:val="hybridMultilevel"/>
    <w:tmpl w:val="57A0F756"/>
    <w:lvl w:ilvl="0" w:tplc="2F40F17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3BA7"/>
    <w:rsid w:val="00197188"/>
    <w:rsid w:val="001D2E19"/>
    <w:rsid w:val="001E3D5E"/>
    <w:rsid w:val="001F68EF"/>
    <w:rsid w:val="00232DC5"/>
    <w:rsid w:val="00283B81"/>
    <w:rsid w:val="00296E6F"/>
    <w:rsid w:val="002A2D9C"/>
    <w:rsid w:val="002B7D45"/>
    <w:rsid w:val="002C5673"/>
    <w:rsid w:val="002D0BBA"/>
    <w:rsid w:val="002F2A3D"/>
    <w:rsid w:val="002F3054"/>
    <w:rsid w:val="00307151"/>
    <w:rsid w:val="003556CB"/>
    <w:rsid w:val="00372B9B"/>
    <w:rsid w:val="00376821"/>
    <w:rsid w:val="00384235"/>
    <w:rsid w:val="00390FF7"/>
    <w:rsid w:val="003A5091"/>
    <w:rsid w:val="003D2305"/>
    <w:rsid w:val="003E5052"/>
    <w:rsid w:val="003F3619"/>
    <w:rsid w:val="0041155C"/>
    <w:rsid w:val="00420898"/>
    <w:rsid w:val="00455ACD"/>
    <w:rsid w:val="004800E3"/>
    <w:rsid w:val="00480E0C"/>
    <w:rsid w:val="004A7C1C"/>
    <w:rsid w:val="004E5D62"/>
    <w:rsid w:val="005007EA"/>
    <w:rsid w:val="00510481"/>
    <w:rsid w:val="00541CFC"/>
    <w:rsid w:val="005625BF"/>
    <w:rsid w:val="0056668E"/>
    <w:rsid w:val="005E27C7"/>
    <w:rsid w:val="006070D2"/>
    <w:rsid w:val="00616C03"/>
    <w:rsid w:val="00622E14"/>
    <w:rsid w:val="00643402"/>
    <w:rsid w:val="0067422E"/>
    <w:rsid w:val="00674E20"/>
    <w:rsid w:val="006A5410"/>
    <w:rsid w:val="006B3982"/>
    <w:rsid w:val="006C3137"/>
    <w:rsid w:val="006C66C3"/>
    <w:rsid w:val="006F20F7"/>
    <w:rsid w:val="006F6817"/>
    <w:rsid w:val="006F7CA9"/>
    <w:rsid w:val="006F7FE4"/>
    <w:rsid w:val="00714EC6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1653"/>
    <w:rsid w:val="0099456C"/>
    <w:rsid w:val="009977A2"/>
    <w:rsid w:val="009979E5"/>
    <w:rsid w:val="009B4DDE"/>
    <w:rsid w:val="009C0753"/>
    <w:rsid w:val="009F7A45"/>
    <w:rsid w:val="00A0350F"/>
    <w:rsid w:val="00A126A6"/>
    <w:rsid w:val="00A1304B"/>
    <w:rsid w:val="00A40B7F"/>
    <w:rsid w:val="00A82F5F"/>
    <w:rsid w:val="00AB409B"/>
    <w:rsid w:val="00AB6A34"/>
    <w:rsid w:val="00AC3598"/>
    <w:rsid w:val="00AD5459"/>
    <w:rsid w:val="00AF403A"/>
    <w:rsid w:val="00B063C2"/>
    <w:rsid w:val="00B15A61"/>
    <w:rsid w:val="00B301C5"/>
    <w:rsid w:val="00B305DF"/>
    <w:rsid w:val="00B67FB3"/>
    <w:rsid w:val="00B81D18"/>
    <w:rsid w:val="00B83027"/>
    <w:rsid w:val="00B85DC3"/>
    <w:rsid w:val="00BA0FD2"/>
    <w:rsid w:val="00BD7459"/>
    <w:rsid w:val="00BE218F"/>
    <w:rsid w:val="00BF02C3"/>
    <w:rsid w:val="00C06991"/>
    <w:rsid w:val="00C24A58"/>
    <w:rsid w:val="00C24C27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44EC7"/>
    <w:rsid w:val="00D54053"/>
    <w:rsid w:val="00D63CF0"/>
    <w:rsid w:val="00D822EF"/>
    <w:rsid w:val="00DB0EAD"/>
    <w:rsid w:val="00DC6DA6"/>
    <w:rsid w:val="00DE350C"/>
    <w:rsid w:val="00DF0534"/>
    <w:rsid w:val="00E16169"/>
    <w:rsid w:val="00E235FE"/>
    <w:rsid w:val="00F010A1"/>
    <w:rsid w:val="00F05B67"/>
    <w:rsid w:val="00F3570F"/>
    <w:rsid w:val="00FA4863"/>
    <w:rsid w:val="00FC21AE"/>
    <w:rsid w:val="00FD1A75"/>
    <w:rsid w:val="00FD2E19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68F82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9F7A4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locked/>
    <w:rsid w:val="009F7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112</cp:revision>
  <cp:lastPrinted>2021-02-08T08:32:00Z</cp:lastPrinted>
  <dcterms:created xsi:type="dcterms:W3CDTF">2021-03-02T04:12:00Z</dcterms:created>
  <dcterms:modified xsi:type="dcterms:W3CDTF">2025-10-31T14:19:00Z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