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5"/>
        <w:gridCol w:w="6295"/>
      </w:tblGrid>
      <w:tr w:rsidR="00E70DE4" w:rsidRPr="008530F3" w:rsidTr="007767DE">
        <w:tc>
          <w:tcPr>
            <w:tcW w:w="1357" w:type="pct"/>
            <w:hideMark/>
          </w:tcPr>
          <w:p w:rsidR="007B161F" w:rsidRPr="008530F3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CÔNG TY TNHH THƯƠNG MẠI DỊCH VỤ ĐỊA ỐC KIM PHÚC</w:t>
            </w:r>
          </w:p>
          <w:p w:rsidR="00E70DE4" w:rsidRPr="008530F3" w:rsidRDefault="00E70DE4" w:rsidP="00E70D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bookmarkStart w:id="0" w:name="SBB_CT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01</w:t>
            </w:r>
            <w:bookmarkEnd w:id="0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t>/BBH-HĐTV</w:t>
            </w:r>
          </w:p>
        </w:tc>
        <w:tc>
          <w:tcPr>
            <w:tcW w:w="3643" w:type="pct"/>
            <w:vAlign w:val="center"/>
            <w:hideMark/>
          </w:tcPr>
          <w:p w:rsidR="00E70DE4" w:rsidRPr="008530F3" w:rsidRDefault="00E70DE4" w:rsidP="00E70DE4">
            <w:pP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–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phúc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530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:rsidR="00E70DE4" w:rsidRPr="008530F3" w:rsidRDefault="00E70DE4" w:rsidP="00E70DE4">
            <w:pPr>
              <w:spacing w:before="100" w:after="1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Thành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phố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Hồ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Chí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Minh,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ngày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25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tháng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9 </w:t>
            </w:r>
            <w:proofErr w:type="spellStart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năm</w:t>
            </w:r>
            <w:proofErr w:type="spellEnd"/>
            <w:r w:rsidRPr="008530F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2025</w:t>
            </w:r>
            <w:r w:rsidRPr="008530F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E70DE4" w:rsidRPr="008530F3" w:rsidRDefault="00E70DE4" w:rsidP="00E70D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30F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871D32" w:rsidRPr="008530F3" w:rsidRDefault="00871D32" w:rsidP="00E70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DE4" w:rsidRPr="008530F3" w:rsidRDefault="00E70DE4" w:rsidP="00E70D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30F3">
        <w:rPr>
          <w:rFonts w:ascii="Times New Roman" w:eastAsia="Times New Roman" w:hAnsi="Times New Roman" w:cs="Times New Roman"/>
          <w:b/>
          <w:bCs/>
          <w:sz w:val="24"/>
          <w:szCs w:val="24"/>
        </w:rPr>
        <w:t>BIÊN BẢN HỌP HỘI ĐỒNG THÀNH VIÊN</w:t>
      </w:r>
    </w:p>
    <w:p w:rsidR="008530F3" w:rsidRPr="008530F3" w:rsidRDefault="00E70DE4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br/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6C2BCB" w:rsidRPr="008530F3">
        <w:rPr>
          <w:rFonts w:ascii="Times New Roman" w:hAnsi="Times New Roman" w:cs="Times New Roman"/>
          <w:sz w:val="24"/>
          <w:szCs w:val="24"/>
        </w:rPr>
        <w:t>Hôm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2025,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CÔNG TY TNHH THƯƠNG MẠI DỊCH VỤ ĐỊA ỐC KIM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PHÚC.Địa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367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HL 612,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Ấp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Minh,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Nam.Chúng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:-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NGUYỄN MẠNH CƯỜNG –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tịch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6C2BCB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BCB" w:rsidRPr="008530F3">
        <w:rPr>
          <w:rFonts w:ascii="Times New Roman" w:hAnsi="Times New Roman" w:cs="Times New Roman"/>
          <w:sz w:val="24"/>
          <w:szCs w:val="24"/>
        </w:rPr>
        <w:t>họ</w:t>
      </w:r>
      <w:r w:rsidR="008530F3" w:rsidRPr="008530F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>: 50%</w:t>
      </w:r>
      <w:r w:rsidR="006C2BCB" w:rsidRPr="008530F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01/GCN-GPV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05/4/2022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NGUYỄN THỊ PHÚC –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0F3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8530F3" w:rsidRPr="008530F3">
        <w:rPr>
          <w:rFonts w:ascii="Times New Roman" w:hAnsi="Times New Roman" w:cs="Times New Roman"/>
          <w:sz w:val="24"/>
          <w:szCs w:val="24"/>
        </w:rPr>
        <w:t xml:space="preserve"> </w:t>
      </w:r>
      <w:r w:rsidRPr="008530F3">
        <w:rPr>
          <w:rFonts w:ascii="Times New Roman" w:hAnsi="Times New Roman" w:cs="Times New Roman"/>
          <w:sz w:val="24"/>
          <w:szCs w:val="24"/>
        </w:rPr>
        <w:t>50%.</w:t>
      </w:r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02/GCN-GPV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60A"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2560A" w:rsidRPr="008530F3">
        <w:rPr>
          <w:rFonts w:ascii="Times New Roman" w:hAnsi="Times New Roman" w:cs="Times New Roman"/>
          <w:sz w:val="24"/>
          <w:szCs w:val="24"/>
        </w:rPr>
        <w:t xml:space="preserve"> 05/4/2022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2.000.000.000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Pr="008530F3" w:rsidRDefault="006C2BCB">
      <w:pPr>
        <w:rPr>
          <w:rFonts w:ascii="Times New Roman" w:hAnsi="Times New Roman" w:cs="Times New Roman"/>
          <w:b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A. NỘI DUNG CUỘC HỌP</w:t>
      </w:r>
    </w:p>
    <w:p w:rsidR="008530F3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thảo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208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59/2020/QH14.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trụ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sở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sz w:val="24"/>
          <w:szCs w:val="24"/>
        </w:rPr>
        <w:t>CÔNG TY TNHH THƯƠNG MẠI DỊCH VỤ ĐỊA ỐC KIM PHÚC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367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HL 612,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Hòa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TP.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Minh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: 3703050169 do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ĐKKD –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KH&amp;ĐT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tỉnh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05/4/2022.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chấm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dứt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thủ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tục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khoản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nợ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06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530F3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proofErr w:type="gram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lao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0F3">
        <w:rPr>
          <w:rFonts w:ascii="Times New Roman" w:hAnsi="Times New Roman" w:cs="Times New Roman"/>
          <w:sz w:val="24"/>
          <w:szCs w:val="24"/>
        </w:rPr>
        <w:t>lao</w:t>
      </w:r>
      <w:proofErr w:type="spellEnd"/>
      <w:proofErr w:type="gram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Phương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8530F3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proofErr w:type="gram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sản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lại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vốn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 xml:space="preserve">6.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Trách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b/>
          <w:sz w:val="24"/>
          <w:szCs w:val="24"/>
        </w:rPr>
        <w:t>: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hồ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b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B. BIỂU QUYẾT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1004"/>
        <w:gridCol w:w="960"/>
        <w:gridCol w:w="928"/>
        <w:gridCol w:w="1031"/>
        <w:gridCol w:w="1031"/>
      </w:tblGrid>
      <w:tr w:rsidR="00B32F41" w:rsidRPr="008530F3" w:rsidTr="00B32F41">
        <w:tc>
          <w:tcPr>
            <w:tcW w:w="1476" w:type="dxa"/>
          </w:tcPr>
          <w:tbl>
            <w:tblPr>
              <w:tblW w:w="36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3626" w:type="dxa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Nội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biểu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quyết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8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phiếu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hợp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4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hợp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lệ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Tán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thành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tán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thành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</w:tblGrid>
            <w:tr w:rsidR="00B32F41" w:rsidRPr="00B32F41" w:rsidTr="00B32F4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Không</w:t>
                  </w:r>
                  <w:proofErr w:type="spellEnd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ý </w:t>
                  </w:r>
                  <w:proofErr w:type="spellStart"/>
                  <w:r w:rsidRPr="00B32F41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kiến</w:t>
                  </w:r>
                  <w:proofErr w:type="spellEnd"/>
                </w:p>
              </w:tc>
            </w:tr>
          </w:tbl>
          <w:p w:rsidR="00B32F41" w:rsidRPr="00B32F41" w:rsidRDefault="00B32F41" w:rsidP="00B32F4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32F41" w:rsidRPr="00B32F41" w:rsidTr="00B32F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2F41" w:rsidRPr="00B32F41" w:rsidRDefault="00B32F41" w:rsidP="00B32F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F41" w:rsidRPr="008530F3" w:rsidTr="00B32F41"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85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4564" w:rsidRPr="008530F3">
              <w:rPr>
                <w:rFonts w:ascii="Times New Roman" w:hAnsi="Times New Roman" w:cs="Times New Roman"/>
                <w:sz w:val="24"/>
                <w:szCs w:val="24"/>
              </w:rPr>
              <w:t>CÔNG TY TNHH THƯƠNG MẠI DỊCH VỤ ĐỊA ỐC KIM PHÚC</w:t>
            </w:r>
          </w:p>
        </w:tc>
        <w:tc>
          <w:tcPr>
            <w:tcW w:w="2034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8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76" w:type="dxa"/>
          </w:tcPr>
          <w:p w:rsidR="00B32F41" w:rsidRPr="008530F3" w:rsidRDefault="00B32F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30F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32F41" w:rsidRPr="008530F3" w:rsidRDefault="00B32F41">
      <w:pPr>
        <w:rPr>
          <w:rFonts w:ascii="Times New Roman" w:hAnsi="Times New Roman" w:cs="Times New Roman"/>
          <w:sz w:val="24"/>
          <w:szCs w:val="24"/>
        </w:rPr>
      </w:pPr>
    </w:p>
    <w:p w:rsidR="00CC0757" w:rsidRPr="008530F3" w:rsidRDefault="000248C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Style w:val="Strong"/>
          <w:rFonts w:ascii="Times New Roman" w:hAnsi="Times New Roman" w:cs="Times New Roman"/>
          <w:sz w:val="24"/>
          <w:szCs w:val="24"/>
        </w:rPr>
        <w:t>Kết</w:t>
      </w:r>
      <w:proofErr w:type="spellEnd"/>
      <w:r w:rsidRPr="008530F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Style w:val="Strong"/>
          <w:rFonts w:ascii="Times New Roman" w:hAnsi="Times New Roman" w:cs="Times New Roman"/>
          <w:sz w:val="24"/>
          <w:szCs w:val="24"/>
        </w:rPr>
        <w:t>quả</w:t>
      </w:r>
      <w:proofErr w:type="spellEnd"/>
      <w:r w:rsidRPr="008530F3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Pr="008530F3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tán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  <w:r w:rsidRPr="008530F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Nghị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8530F3">
        <w:rPr>
          <w:sz w:val="24"/>
          <w:szCs w:val="24"/>
        </w:rPr>
        <w:t>.</w:t>
      </w:r>
    </w:p>
    <w:p w:rsidR="00CC0757" w:rsidRPr="008530F3" w:rsidRDefault="006C2BCB">
      <w:pPr>
        <w:rPr>
          <w:rFonts w:ascii="Times New Roman" w:hAnsi="Times New Roman" w:cs="Times New Roman"/>
          <w:sz w:val="24"/>
          <w:szCs w:val="24"/>
        </w:rPr>
      </w:pPr>
      <w:r w:rsidRPr="008530F3">
        <w:rPr>
          <w:rFonts w:ascii="Times New Roman" w:hAnsi="Times New Roman" w:cs="Times New Roman"/>
          <w:b/>
          <w:sz w:val="24"/>
          <w:szCs w:val="24"/>
        </w:rPr>
        <w:t>C. QUYẾT NGHỊ</w:t>
      </w:r>
    </w:p>
    <w:p w:rsidR="00CC0757" w:rsidRDefault="006C2B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30F3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ty TNHH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ốc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Kim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Phúc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530F3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nêu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30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8530F3">
        <w:rPr>
          <w:rFonts w:ascii="Times New Roman" w:hAnsi="Times New Roman" w:cs="Times New Roman"/>
          <w:sz w:val="24"/>
          <w:szCs w:val="24"/>
        </w:rPr>
        <w:t>.</w:t>
      </w:r>
    </w:p>
    <w:p w:rsidR="008530F3" w:rsidRDefault="008530F3">
      <w:pPr>
        <w:rPr>
          <w:rFonts w:ascii="Times New Roman" w:hAnsi="Times New Roman" w:cs="Times New Roman"/>
          <w:sz w:val="24"/>
          <w:szCs w:val="24"/>
        </w:rPr>
      </w:pPr>
    </w:p>
    <w:p w:rsidR="008530F3" w:rsidRPr="008530F3" w:rsidRDefault="008530F3">
      <w:pPr>
        <w:rPr>
          <w:rFonts w:ascii="Times New Roman" w:hAnsi="Times New Roman" w:cs="Times New Roman"/>
          <w:sz w:val="24"/>
          <w:szCs w:val="24"/>
        </w:rPr>
      </w:pPr>
    </w:p>
    <w:sectPr w:rsidR="008530F3" w:rsidRPr="008530F3" w:rsidSect="00C1525F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8CF"/>
    <w:rsid w:val="00034616"/>
    <w:rsid w:val="0006063C"/>
    <w:rsid w:val="00110097"/>
    <w:rsid w:val="0015074B"/>
    <w:rsid w:val="00174418"/>
    <w:rsid w:val="00190CC7"/>
    <w:rsid w:val="0029639D"/>
    <w:rsid w:val="00326F90"/>
    <w:rsid w:val="00500C7B"/>
    <w:rsid w:val="00533175"/>
    <w:rsid w:val="005F4564"/>
    <w:rsid w:val="00622E53"/>
    <w:rsid w:val="006C2BCB"/>
    <w:rsid w:val="007B161F"/>
    <w:rsid w:val="008530F3"/>
    <w:rsid w:val="00871D32"/>
    <w:rsid w:val="009332B0"/>
    <w:rsid w:val="00AA1D8D"/>
    <w:rsid w:val="00B2560A"/>
    <w:rsid w:val="00B32F41"/>
    <w:rsid w:val="00B47730"/>
    <w:rsid w:val="00B63BB9"/>
    <w:rsid w:val="00B84D26"/>
    <w:rsid w:val="00C1525F"/>
    <w:rsid w:val="00CB0664"/>
    <w:rsid w:val="00CC0757"/>
    <w:rsid w:val="00E70D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3CFBBC-5767-447C-8DF8-45BBD933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5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A93C2-788F-4C82-883E-BBA32D3BF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NGÔ HOÀNG LÂN</cp:lastModifiedBy>
  <cp:revision>20</cp:revision>
  <cp:lastPrinted>2025-10-16T02:43:00Z</cp:lastPrinted>
  <dcterms:created xsi:type="dcterms:W3CDTF">2013-12-23T23:15:00Z</dcterms:created>
  <dcterms:modified xsi:type="dcterms:W3CDTF">2025-10-16T03:06:00Z</dcterms:modified>
  <cp:category/>
</cp:coreProperties>
</file>