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FE5222 ADP Project One</w:t>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 Ngok Chao, Gao Jichen, Cheng Tuoyuan</w:t>
      </w:r>
    </w:p>
    <w:p w:rsidR="00000000" w:rsidDel="00000000" w:rsidP="00000000" w:rsidRDefault="00000000" w:rsidRPr="00000000" w14:paraId="000000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we would implement the least square Monte Carlo (LSMC) method for American put options pricing, and employ the binomial Black-Scholes model with Richardson extrapolation (BBSR) as a benchmark. Results from both methods are compared and discussed in various scenarios. The effects of numerical parameters such as the number of simulation paths as well as the number of discrete time steps are further investigated and visualized.</w:t>
      </w:r>
    </w:p>
    <w:p w:rsidR="00000000" w:rsidDel="00000000" w:rsidP="00000000" w:rsidRDefault="00000000" w:rsidRPr="00000000" w14:paraId="0000000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Merits of LSMC: can be extended with factor models, allows for path-dependent &amp; early exercise features, permits parallelization; simple, transparent, flexible</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simulation &amp; regression are time-consuming; needs to balance between MC simulation counts &amp; time step counts.</w:t>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Merits of BBSR: BBS is improved from traditional binomial trees by applying BSM for option values at the m-2 step, which were difficult for OTM options to consider their time value. BBSR further involved the Richardson extrapolation technique to cancel out higher-order error terms.</w:t>
      </w:r>
    </w:p>
    <w:p w:rsidR="00000000" w:rsidDel="00000000" w:rsidP="00000000" w:rsidRDefault="00000000" w:rsidRPr="00000000" w14:paraId="0000000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disadvantages from binomial trees; not flexible</w:t>
      </w:r>
    </w:p>
    <w:p w:rsidR="00000000" w:rsidDel="00000000" w:rsidP="00000000" w:rsidRDefault="00000000" w:rsidRPr="00000000" w14:paraId="0000000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Materials and Methods</w:t>
      </w:r>
    </w:p>
    <w:p w:rsidR="00000000" w:rsidDel="00000000" w:rsidP="00000000" w:rsidRDefault="00000000" w:rsidRPr="00000000" w14:paraId="00000010">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LSMC</w:t>
      </w:r>
    </w:p>
    <w:p w:rsidR="00000000" w:rsidDel="00000000" w:rsidP="00000000" w:rsidRDefault="00000000" w:rsidRPr="00000000" w14:paraId="0000001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Cashflow vector </w:t>
      </w:r>
    </w:p>
    <w:p w:rsidR="00000000" w:rsidDel="00000000" w:rsidP="00000000" w:rsidRDefault="00000000" w:rsidRPr="00000000" w14:paraId="0000001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value and continuation value</w:t>
      </w:r>
    </w:p>
    <w:p w:rsidR="00000000" w:rsidDel="00000000" w:rsidP="00000000" w:rsidRDefault="00000000" w:rsidRPr="00000000" w14:paraId="0000001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Least square regression </w:t>
      </w:r>
    </w:p>
    <w:p w:rsidR="00000000" w:rsidDel="00000000" w:rsidP="00000000" w:rsidRDefault="00000000" w:rsidRPr="00000000" w14:paraId="0000001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 induction and discounting</w:t>
      </w:r>
    </w:p>
    <w:p w:rsidR="00000000" w:rsidDel="00000000" w:rsidP="00000000" w:rsidRDefault="00000000" w:rsidRPr="00000000" w14:paraId="0000001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BBSR</w:t>
      </w:r>
    </w:p>
    <w:p w:rsidR="00000000" w:rsidDel="00000000" w:rsidP="00000000" w:rsidRDefault="00000000" w:rsidRPr="00000000" w14:paraId="00000017">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Binomial tree </w:t>
      </w:r>
    </w:p>
    <w:p w:rsidR="00000000" w:rsidDel="00000000" w:rsidP="00000000" w:rsidRDefault="00000000" w:rsidRPr="00000000" w14:paraId="00000018">
      <w:pPr>
        <w:numPr>
          <w:ilvl w:val="0"/>
          <w:numId w:val="1"/>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Black-Scholes binomial tree method</w:t>
      </w:r>
    </w:p>
    <w:p w:rsidR="00000000" w:rsidDel="00000000" w:rsidP="00000000" w:rsidRDefault="00000000" w:rsidRPr="00000000" w14:paraId="0000001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BBS method is a modification to the binomial method where the Black-Scholes formula replaces the usual “continuation value” at the time step just before option maturity. At time t_(N-1), the continuation value is equivalent to the price of a European put option, replace it with BS formula for put option, that is:</w:t>
      </w:r>
    </w:p>
    <w:p w:rsidR="00000000" w:rsidDel="00000000" w:rsidP="00000000" w:rsidRDefault="00000000" w:rsidRPr="00000000" w14:paraId="0000001A">
      <w:pPr>
        <w:ind w:left="0" w:firstLine="0"/>
        <w:jc w:val="center"/>
        <w:rPr>
          <w:rFonts w:ascii="Times New Roman" w:cs="Times New Roman" w:eastAsia="Times New Roman" w:hAnsi="Times New Roman"/>
          <w:b w:val="1"/>
          <w:sz w:val="24"/>
          <w:szCs w:val="24"/>
        </w:rPr>
      </w:pPr>
      <m:oMath>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V</m:t>
            </m:r>
          </m:e>
          <m:sub>
            <m:r>
              <w:rPr>
                <w:rFonts w:ascii="Times New Roman" w:cs="Times New Roman" w:eastAsia="Times New Roman" w:hAnsi="Times New Roman"/>
                <w:b w:val="1"/>
                <w:sz w:val="24"/>
                <w:szCs w:val="24"/>
              </w:rPr>
              <m:t xml:space="preserve">N-1,j</m:t>
            </m:r>
          </m:sub>
        </m:sSub>
        <m:r>
          <w:rPr>
            <w:rFonts w:ascii="Times New Roman" w:cs="Times New Roman" w:eastAsia="Times New Roman" w:hAnsi="Times New Roman"/>
            <w:b w:val="1"/>
            <w:sz w:val="24"/>
            <w:szCs w:val="24"/>
          </w:rPr>
          <m:t xml:space="preserve">=max{p(</m:t>
        </m:r>
        <m:r>
          <w:rPr>
            <w:rFonts w:ascii="Times New Roman" w:cs="Times New Roman" w:eastAsia="Times New Roman" w:hAnsi="Times New Roman"/>
            <w:b w:val="1"/>
            <w:sz w:val="24"/>
            <w:szCs w:val="24"/>
          </w:rPr>
          <m:t>Δ</m:t>
        </m:r>
        <m:r>
          <w:rPr>
            <w:rFonts w:ascii="Times New Roman" w:cs="Times New Roman" w:eastAsia="Times New Roman" w:hAnsi="Times New Roman"/>
            <w:b w:val="1"/>
            <w:sz w:val="24"/>
            <w:szCs w:val="24"/>
          </w:rPr>
          <m:t xml:space="preserve">t,</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S</m:t>
            </m:r>
          </m:e>
          <m:sub>
            <m:r>
              <w:rPr>
                <w:rFonts w:ascii="Times New Roman" w:cs="Times New Roman" w:eastAsia="Times New Roman" w:hAnsi="Times New Roman"/>
                <w:b w:val="1"/>
                <w:sz w:val="24"/>
                <w:szCs w:val="24"/>
              </w:rPr>
              <m:t xml:space="preserve">N-1,j</m:t>
            </m:r>
          </m:sub>
        </m:sSub>
        <m:r>
          <w:rPr>
            <w:rFonts w:ascii="Times New Roman" w:cs="Times New Roman" w:eastAsia="Times New Roman" w:hAnsi="Times New Roman"/>
            <w:b w:val="1"/>
            <w:sz w:val="24"/>
            <w:szCs w:val="24"/>
          </w:rPr>
          <m:t xml:space="preserve">),K-</m:t>
        </m:r>
        <m:sSub>
          <m:sSubPr>
            <m:ctrlPr>
              <w:rPr>
                <w:rFonts w:ascii="Times New Roman" w:cs="Times New Roman" w:eastAsia="Times New Roman" w:hAnsi="Times New Roman"/>
                <w:b w:val="1"/>
                <w:sz w:val="24"/>
                <w:szCs w:val="24"/>
              </w:rPr>
            </m:ctrlPr>
          </m:sSubPr>
          <m:e>
            <m:r>
              <w:rPr>
                <w:rFonts w:ascii="Times New Roman" w:cs="Times New Roman" w:eastAsia="Times New Roman" w:hAnsi="Times New Roman"/>
                <w:b w:val="1"/>
                <w:sz w:val="24"/>
                <w:szCs w:val="24"/>
              </w:rPr>
              <m:t xml:space="preserve">S</m:t>
            </m:r>
          </m:e>
          <m:sub>
            <m:r>
              <w:rPr>
                <w:rFonts w:ascii="Times New Roman" w:cs="Times New Roman" w:eastAsia="Times New Roman" w:hAnsi="Times New Roman"/>
                <w:b w:val="1"/>
                <w:sz w:val="24"/>
                <w:szCs w:val="24"/>
              </w:rPr>
              <m:t xml:space="preserve">N-1,j</m:t>
            </m:r>
          </m:sub>
        </m:sSub>
        <m:r>
          <w:rPr>
            <w:rFonts w:ascii="Times New Roman" w:cs="Times New Roman" w:eastAsia="Times New Roman" w:hAnsi="Times New Roman"/>
            <w:b w:val="1"/>
            <w:sz w:val="24"/>
            <w:szCs w:val="24"/>
          </w:rPr>
          <m:t xml:space="preserve">}</m:t>
        </m:r>
      </m:oMath>
      <w:r w:rsidDel="00000000" w:rsidR="00000000" w:rsidRPr="00000000">
        <w:rPr>
          <w:rtl w:val="0"/>
        </w:rPr>
      </w:r>
    </w:p>
    <w:p w:rsidR="00000000" w:rsidDel="00000000" w:rsidP="00000000" w:rsidRDefault="00000000" w:rsidRPr="00000000" w14:paraId="0000001B">
      <w:pPr>
        <w:numPr>
          <w:ilvl w:val="0"/>
          <w:numId w:val="2"/>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Richardson extrapolation</w:t>
      </w:r>
    </w:p>
    <w:p w:rsidR="00000000" w:rsidDel="00000000" w:rsidP="00000000" w:rsidRDefault="00000000" w:rsidRPr="00000000" w14:paraId="0000001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and visualization</w:t>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Investigated pricing parameters: Spot, Strike, volatility (sigma), interest rate (r), time to maturity (mT)</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Pairwise grid comparison between LSMC and BBSR.</w:t>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Investigated numerical parameters: number of Monte Carlo paths (n), number of time steps (m)</w:t>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LSMC performances at different n &amp; m; BBSR performances at different m.</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 and Discussion</w:t>
      </w:r>
    </w:p>
    <w:p w:rsidR="00000000" w:rsidDel="00000000" w:rsidP="00000000" w:rsidRDefault="00000000" w:rsidRPr="00000000" w14:paraId="00000025">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Grid comparison for pricing parameters</w:t>
      </w:r>
    </w:p>
    <w:p w:rsidR="00000000" w:rsidDel="00000000" w:rsidP="00000000" w:rsidRDefault="00000000" w:rsidRPr="00000000" w14:paraId="00000026">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6" name="image4.png"/>
            <a:graphic>
              <a:graphicData uri="http://schemas.openxmlformats.org/drawingml/2006/picture">
                <pic:pic>
                  <pic:nvPicPr>
                    <pic:cNvPr id="0" name="image4.png"/>
                    <pic:cNvPicPr preferRelativeResize="0"/>
                  </pic:nvPicPr>
                  <pic:blipFill>
                    <a:blip r:embed="rId6"/>
                    <a:srcRect b="0" l="12013" r="12916" t="0"/>
                    <a:stretch>
                      <a:fillRect/>
                    </a:stretch>
                  </pic:blipFill>
                  <pic:spPr>
                    <a:xfrm>
                      <a:off x="0" y="0"/>
                      <a:ext cx="3200400" cy="2743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11" name="image12.png"/>
            <a:graphic>
              <a:graphicData uri="http://schemas.openxmlformats.org/drawingml/2006/picture">
                <pic:pic>
                  <pic:nvPicPr>
                    <pic:cNvPr id="0" name="image12.png"/>
                    <pic:cNvPicPr preferRelativeResize="0"/>
                  </pic:nvPicPr>
                  <pic:blipFill>
                    <a:blip r:embed="rId7"/>
                    <a:srcRect b="0" l="11527" r="12500" t="0"/>
                    <a:stretch>
                      <a:fillRect/>
                    </a:stretch>
                  </pic:blipFill>
                  <pic:spPr>
                    <a:xfrm>
                      <a:off x="0" y="0"/>
                      <a:ext cx="3200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216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w:t>
      </w:r>
    </w:p>
    <w:p w:rsidR="00000000" w:rsidDel="00000000" w:rsidP="00000000" w:rsidRDefault="00000000" w:rsidRPr="00000000" w14:paraId="00000028">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 The differences between LSMC and BBSR among various </w:t>
      </w:r>
    </w:p>
    <w:p w:rsidR="00000000" w:rsidDel="00000000" w:rsidP="00000000" w:rsidRDefault="00000000" w:rsidRPr="00000000" w14:paraId="00000029">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spot and strike, as well as  (b) spot and volatility (sigma).</w:t>
      </w:r>
    </w:p>
    <w:p w:rsidR="00000000" w:rsidDel="00000000" w:rsidP="00000000" w:rsidRDefault="00000000" w:rsidRPr="00000000" w14:paraId="0000002A">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5" name="image10.png"/>
            <a:graphic>
              <a:graphicData uri="http://schemas.openxmlformats.org/drawingml/2006/picture">
                <pic:pic>
                  <pic:nvPicPr>
                    <pic:cNvPr id="0" name="image10.png"/>
                    <pic:cNvPicPr preferRelativeResize="0"/>
                  </pic:nvPicPr>
                  <pic:blipFill>
                    <a:blip r:embed="rId8"/>
                    <a:srcRect b="0" l="11805" r="12500" t="0"/>
                    <a:stretch>
                      <a:fillRect/>
                    </a:stretch>
                  </pic:blipFill>
                  <pic:spPr>
                    <a:xfrm>
                      <a:off x="0" y="0"/>
                      <a:ext cx="3200400" cy="2743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9" name="image6.png"/>
            <a:graphic>
              <a:graphicData uri="http://schemas.openxmlformats.org/drawingml/2006/picture">
                <pic:pic>
                  <pic:nvPicPr>
                    <pic:cNvPr id="0" name="image6.png"/>
                    <pic:cNvPicPr preferRelativeResize="0"/>
                  </pic:nvPicPr>
                  <pic:blipFill>
                    <a:blip r:embed="rId9"/>
                    <a:srcRect b="0" l="12222" r="13055" t="0"/>
                    <a:stretch>
                      <a:fillRect/>
                    </a:stretch>
                  </pic:blipFill>
                  <pic:spPr>
                    <a:xfrm>
                      <a:off x="0" y="0"/>
                      <a:ext cx="3200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w:t>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 The differences between LSMC and BBSR among various </w:t>
      </w:r>
    </w:p>
    <w:p w:rsidR="00000000" w:rsidDel="00000000" w:rsidP="00000000" w:rsidRDefault="00000000" w:rsidRPr="00000000" w14:paraId="0000002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spot and interest rate (r), as well as  (b) spot and time to expiry (mT).</w:t>
      </w:r>
      <w:r w:rsidDel="00000000" w:rsidR="00000000" w:rsidRPr="00000000">
        <w:rPr>
          <w:rtl w:val="0"/>
        </w:rPr>
      </w:r>
    </w:p>
    <w:p w:rsidR="00000000" w:rsidDel="00000000" w:rsidP="00000000" w:rsidRDefault="00000000" w:rsidRPr="00000000" w14:paraId="00000030">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3" name="image3.png"/>
            <a:graphic>
              <a:graphicData uri="http://schemas.openxmlformats.org/drawingml/2006/picture">
                <pic:pic>
                  <pic:nvPicPr>
                    <pic:cNvPr id="0" name="image3.png"/>
                    <pic:cNvPicPr preferRelativeResize="0"/>
                  </pic:nvPicPr>
                  <pic:blipFill>
                    <a:blip r:embed="rId10"/>
                    <a:srcRect b="0" l="11527" r="12500" t="0"/>
                    <a:stretch>
                      <a:fillRect/>
                    </a:stretch>
                  </pic:blipFill>
                  <pic:spPr>
                    <a:xfrm>
                      <a:off x="0" y="0"/>
                      <a:ext cx="3200400" cy="2743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10" name="image9.png"/>
            <a:graphic>
              <a:graphicData uri="http://schemas.openxmlformats.org/drawingml/2006/picture">
                <pic:pic>
                  <pic:nvPicPr>
                    <pic:cNvPr id="0" name="image9.png"/>
                    <pic:cNvPicPr preferRelativeResize="0"/>
                  </pic:nvPicPr>
                  <pic:blipFill>
                    <a:blip r:embed="rId11"/>
                    <a:srcRect b="0" l="11736" r="12361" t="0"/>
                    <a:stretch>
                      <a:fillRect/>
                    </a:stretch>
                  </pic:blipFill>
                  <pic:spPr>
                    <a:xfrm>
                      <a:off x="0" y="0"/>
                      <a:ext cx="3200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w:t>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 The differences between LSMC and BBSR among various </w:t>
      </w:r>
    </w:p>
    <w:p w:rsidR="00000000" w:rsidDel="00000000" w:rsidP="00000000" w:rsidRDefault="00000000" w:rsidRPr="00000000" w14:paraId="0000003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strike and sigma, as well as  (b) strike and interest rate.</w:t>
      </w:r>
      <w:r w:rsidDel="00000000" w:rsidR="00000000" w:rsidRPr="00000000">
        <w:rPr>
          <w:rtl w:val="0"/>
        </w:rPr>
      </w:r>
    </w:p>
    <w:p w:rsidR="00000000" w:rsidDel="00000000" w:rsidP="00000000" w:rsidRDefault="00000000" w:rsidRPr="00000000" w14:paraId="00000035">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6">
      <w:pPr>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8" name="image11.png"/>
            <a:graphic>
              <a:graphicData uri="http://schemas.openxmlformats.org/drawingml/2006/picture">
                <pic:pic>
                  <pic:nvPicPr>
                    <pic:cNvPr id="0" name="image11.png"/>
                    <pic:cNvPicPr preferRelativeResize="0"/>
                  </pic:nvPicPr>
                  <pic:blipFill>
                    <a:blip r:embed="rId12"/>
                    <a:srcRect b="0" l="12222" r="13055" t="0"/>
                    <a:stretch>
                      <a:fillRect/>
                    </a:stretch>
                  </pic:blipFill>
                  <pic:spPr>
                    <a:xfrm>
                      <a:off x="0" y="0"/>
                      <a:ext cx="3200400" cy="2743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4" name="image5.png"/>
            <a:graphic>
              <a:graphicData uri="http://schemas.openxmlformats.org/drawingml/2006/picture">
                <pic:pic>
                  <pic:nvPicPr>
                    <pic:cNvPr id="0" name="image5.png"/>
                    <pic:cNvPicPr preferRelativeResize="0"/>
                  </pic:nvPicPr>
                  <pic:blipFill>
                    <a:blip r:embed="rId13"/>
                    <a:srcRect b="0" l="11805" r="12500" t="0"/>
                    <a:stretch>
                      <a:fillRect/>
                    </a:stretch>
                  </pic:blipFill>
                  <pic:spPr>
                    <a:xfrm>
                      <a:off x="0" y="0"/>
                      <a:ext cx="3200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w:t>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4. The differences between LSMC and BBSR among various </w:t>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strike and time to expiry, as well as  (b) volatility and interest rate.</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2" name="image2.png"/>
            <a:graphic>
              <a:graphicData uri="http://schemas.openxmlformats.org/drawingml/2006/picture">
                <pic:pic>
                  <pic:nvPicPr>
                    <pic:cNvPr id="0" name="image2.png"/>
                    <pic:cNvPicPr preferRelativeResize="0"/>
                  </pic:nvPicPr>
                  <pic:blipFill>
                    <a:blip r:embed="rId14"/>
                    <a:srcRect b="0" l="12152" r="13194" t="0"/>
                    <a:stretch>
                      <a:fillRect/>
                    </a:stretch>
                  </pic:blipFill>
                  <pic:spPr>
                    <a:xfrm>
                      <a:off x="0" y="0"/>
                      <a:ext cx="3200400" cy="2743200"/>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200400" cy="2743200"/>
            <wp:effectExtent b="0" l="0" r="0" t="0"/>
            <wp:docPr id="1" name="image7.png"/>
            <a:graphic>
              <a:graphicData uri="http://schemas.openxmlformats.org/drawingml/2006/picture">
                <pic:pic>
                  <pic:nvPicPr>
                    <pic:cNvPr id="0" name="image7.png"/>
                    <pic:cNvPicPr preferRelativeResize="0"/>
                  </pic:nvPicPr>
                  <pic:blipFill>
                    <a:blip r:embed="rId15"/>
                    <a:srcRect b="0" l="12222" r="13055" t="0"/>
                    <a:stretch>
                      <a:fillRect/>
                    </a:stretch>
                  </pic:blipFill>
                  <pic:spPr>
                    <a:xfrm>
                      <a:off x="0" y="0"/>
                      <a:ext cx="32004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(b)</w:t>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5. The differences between LSMC and BBSR among various </w:t>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volatility and time to expiry, as well as  (b) interest rate and time to expiry.</w:t>
      </w:r>
    </w:p>
    <w:p w:rsidR="00000000" w:rsidDel="00000000" w:rsidP="00000000" w:rsidRDefault="00000000" w:rsidRPr="00000000" w14:paraId="00000040">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Grid comparison for numerical parameters </w:t>
      </w:r>
    </w:p>
    <w:p w:rsidR="00000000" w:rsidDel="00000000" w:rsidP="00000000" w:rsidRDefault="00000000" w:rsidRPr="00000000" w14:paraId="000000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2000" cy="3855720"/>
            <wp:effectExtent b="0" l="0" r="0" t="0"/>
            <wp:docPr id="7" name="image8.png"/>
            <a:graphic>
              <a:graphicData uri="http://schemas.openxmlformats.org/drawingml/2006/picture">
                <pic:pic>
                  <pic:nvPicPr>
                    <pic:cNvPr id="0" name="image8.png"/>
                    <pic:cNvPicPr preferRelativeResize="0"/>
                  </pic:nvPicPr>
                  <pic:blipFill>
                    <a:blip r:embed="rId16"/>
                    <a:srcRect b="0" l="12083" r="12777" t="0"/>
                    <a:stretch>
                      <a:fillRect/>
                    </a:stretch>
                  </pic:blipFill>
                  <pic:spPr>
                    <a:xfrm>
                      <a:off x="0" y="0"/>
                      <a:ext cx="4572000" cy="385572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6. The LSMC results among various numbers of Monte Carlo simulations (n) and numbers of time steps (m). We are assuming Spot = 100, Strike = 100, sigma = 0.2, r = 0.06, mT=1, And the BBSR benchmark value is $ 5.80.</w:t>
      </w:r>
    </w:p>
    <w:p w:rsidR="00000000" w:rsidDel="00000000" w:rsidP="00000000" w:rsidRDefault="00000000" w:rsidRPr="00000000" w14:paraId="00000045">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Needs a trade-off between time steps and simulations to price with satisfactory accuracy and acceptable computational complexity.</w:t>
      </w:r>
    </w:p>
    <w:p w:rsidR="00000000" w:rsidDel="00000000" w:rsidP="00000000" w:rsidRDefault="00000000" w:rsidRPr="00000000" w14:paraId="000000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57600" cy="2745638"/>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657600" cy="274563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7. The BBSR results among various numbers of time steps (m). We are assuming Spot = 100, Strike = 100, sigma = 0.2, r = 0.06, mT=1, And the BBSR benchmark value is $ 5.80.</w:t>
      </w:r>
    </w:p>
    <w:p w:rsidR="00000000" w:rsidDel="00000000" w:rsidP="00000000" w:rsidRDefault="00000000" w:rsidRPr="00000000" w14:paraId="000000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BBSR converges efficiently within a limited number of time steps, and remains stable afterward. It is serving as a good benchmark for vanilla American option pricing.</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Research</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basis functions</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LSMC application on more path-dependent options</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Comparison among trees</w:t>
      </w:r>
    </w:p>
    <w:p w:rsidR="00000000" w:rsidDel="00000000" w:rsidP="00000000" w:rsidRDefault="00000000" w:rsidRPr="00000000" w14:paraId="000000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53">
      <w:pPr>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Longstaff, F.A., and Schwartz, E.S., 2001. Valuing American options by simulation: a simple least-squares approach. </w:t>
      </w:r>
      <w:r w:rsidDel="00000000" w:rsidR="00000000" w:rsidRPr="00000000">
        <w:rPr>
          <w:rFonts w:ascii="Times New Roman" w:cs="Times New Roman" w:eastAsia="Times New Roman" w:hAnsi="Times New Roman"/>
          <w:i w:val="1"/>
          <w:color w:val="222222"/>
          <w:sz w:val="20"/>
          <w:szCs w:val="20"/>
          <w:highlight w:val="white"/>
          <w:rtl w:val="0"/>
        </w:rPr>
        <w:t xml:space="preserve">The review of financial studies</w:t>
      </w:r>
      <w:r w:rsidDel="00000000" w:rsidR="00000000" w:rsidRPr="00000000">
        <w:rPr>
          <w:rFonts w:ascii="Times New Roman" w:cs="Times New Roman" w:eastAsia="Times New Roman" w:hAnsi="Times New Roman"/>
          <w:color w:val="222222"/>
          <w:sz w:val="20"/>
          <w:szCs w:val="20"/>
          <w:highlight w:val="white"/>
          <w:rtl w:val="0"/>
        </w:rPr>
        <w:t xml:space="preserve">, </w:t>
      </w:r>
      <w:r w:rsidDel="00000000" w:rsidR="00000000" w:rsidRPr="00000000">
        <w:rPr>
          <w:rFonts w:ascii="Times New Roman" w:cs="Times New Roman" w:eastAsia="Times New Roman" w:hAnsi="Times New Roman"/>
          <w:i w:val="1"/>
          <w:color w:val="222222"/>
          <w:sz w:val="20"/>
          <w:szCs w:val="20"/>
          <w:highlight w:val="white"/>
          <w:rtl w:val="0"/>
        </w:rPr>
        <w:t xml:space="preserve">14</w:t>
      </w:r>
      <w:r w:rsidDel="00000000" w:rsidR="00000000" w:rsidRPr="00000000">
        <w:rPr>
          <w:rFonts w:ascii="Times New Roman" w:cs="Times New Roman" w:eastAsia="Times New Roman" w:hAnsi="Times New Roman"/>
          <w:color w:val="222222"/>
          <w:sz w:val="20"/>
          <w:szCs w:val="20"/>
          <w:highlight w:val="white"/>
          <w:rtl w:val="0"/>
        </w:rPr>
        <w:t xml:space="preserve">(1), pp.113-147.</w:t>
      </w:r>
    </w:p>
    <w:p w:rsidR="00000000" w:rsidDel="00000000" w:rsidP="00000000" w:rsidRDefault="00000000" w:rsidRPr="00000000" w14:paraId="00000055">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Haug, E.G., 2007. </w:t>
      </w:r>
      <w:r w:rsidDel="00000000" w:rsidR="00000000" w:rsidRPr="00000000">
        <w:rPr>
          <w:rFonts w:ascii="Times New Roman" w:cs="Times New Roman" w:eastAsia="Times New Roman" w:hAnsi="Times New Roman"/>
          <w:i w:val="1"/>
          <w:color w:val="222222"/>
          <w:sz w:val="20"/>
          <w:szCs w:val="20"/>
          <w:highlight w:val="white"/>
          <w:rtl w:val="0"/>
        </w:rPr>
        <w:t xml:space="preserve">The complete guide to option pricing formulas</w:t>
      </w:r>
      <w:r w:rsidDel="00000000" w:rsidR="00000000" w:rsidRPr="00000000">
        <w:rPr>
          <w:rFonts w:ascii="Times New Roman" w:cs="Times New Roman" w:eastAsia="Times New Roman" w:hAnsi="Times New Roman"/>
          <w:color w:val="222222"/>
          <w:sz w:val="20"/>
          <w:szCs w:val="20"/>
          <w:highlight w:val="white"/>
          <w:rtl w:val="0"/>
        </w:rPr>
        <w:t xml:space="preserve">. McGraw-Hill Companies.</w:t>
      </w:r>
    </w:p>
    <w:p w:rsidR="00000000" w:rsidDel="00000000" w:rsidP="00000000" w:rsidRDefault="00000000" w:rsidRPr="00000000" w14:paraId="00000056">
      <w:pPr>
        <w:jc w:val="both"/>
        <w:rPr>
          <w:rFonts w:ascii="Times New Roman" w:cs="Times New Roman" w:eastAsia="Times New Roman" w:hAnsi="Times New Roman"/>
          <w:color w:val="222222"/>
          <w:sz w:val="20"/>
          <w:szCs w:val="20"/>
          <w:highlight w:val="white"/>
        </w:rPr>
      </w:pPr>
      <w:r w:rsidDel="00000000" w:rsidR="00000000" w:rsidRPr="00000000">
        <w:rPr>
          <w:rFonts w:ascii="Times New Roman" w:cs="Times New Roman" w:eastAsia="Times New Roman" w:hAnsi="Times New Roman"/>
          <w:color w:val="222222"/>
          <w:sz w:val="20"/>
          <w:szCs w:val="20"/>
          <w:highlight w:val="white"/>
          <w:rtl w:val="0"/>
        </w:rPr>
        <w:t xml:space="preserve">Wilmott, P., 2007. </w:t>
      </w:r>
      <w:r w:rsidDel="00000000" w:rsidR="00000000" w:rsidRPr="00000000">
        <w:rPr>
          <w:rFonts w:ascii="Times New Roman" w:cs="Times New Roman" w:eastAsia="Times New Roman" w:hAnsi="Times New Roman"/>
          <w:i w:val="1"/>
          <w:color w:val="222222"/>
          <w:sz w:val="20"/>
          <w:szCs w:val="20"/>
          <w:highlight w:val="white"/>
          <w:rtl w:val="0"/>
        </w:rPr>
        <w:t xml:space="preserve">Paul Wilmott introduces quantitative finance</w:t>
      </w:r>
      <w:r w:rsidDel="00000000" w:rsidR="00000000" w:rsidRPr="00000000">
        <w:rPr>
          <w:rFonts w:ascii="Times New Roman" w:cs="Times New Roman" w:eastAsia="Times New Roman" w:hAnsi="Times New Roman"/>
          <w:color w:val="222222"/>
          <w:sz w:val="20"/>
          <w:szCs w:val="20"/>
          <w:highlight w:val="white"/>
          <w:rtl w:val="0"/>
        </w:rPr>
        <w:t xml:space="preserve">. John Wiley &amp; Sons.</w:t>
      </w:r>
    </w:p>
    <w:p w:rsidR="00000000" w:rsidDel="00000000" w:rsidP="00000000" w:rsidRDefault="00000000" w:rsidRPr="00000000" w14:paraId="00000057">
      <w:pPr>
        <w:jc w:val="both"/>
        <w:rPr>
          <w:rFonts w:ascii="Times New Roman" w:cs="Times New Roman" w:eastAsia="Times New Roman" w:hAnsi="Times New Roman"/>
          <w:color w:val="222222"/>
          <w:sz w:val="20"/>
          <w:szCs w:val="20"/>
          <w:highlight w:val="white"/>
        </w:rPr>
      </w:pPr>
      <w:r w:rsidDel="00000000" w:rsidR="00000000" w:rsidRPr="00000000">
        <w:rPr>
          <w:rtl w:val="0"/>
        </w:rPr>
      </w:r>
    </w:p>
    <w:p w:rsidR="00000000" w:rsidDel="00000000" w:rsidP="00000000" w:rsidRDefault="00000000" w:rsidRPr="00000000" w14:paraId="00000058">
      <w:pPr>
        <w:numPr>
          <w:ilvl w:val="0"/>
          <w:numId w:val="3"/>
        </w:numPr>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w:t>
      </w:r>
    </w:p>
    <w:p w:rsidR="00000000" w:rsidDel="00000000" w:rsidP="00000000" w:rsidRDefault="00000000" w:rsidRPr="00000000" w14:paraId="00000059">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LSMC in Python Jupyter notebook, by Ho Ngok Chao</w:t>
      </w:r>
    </w:p>
    <w:p w:rsidR="00000000" w:rsidDel="00000000" w:rsidP="00000000" w:rsidRDefault="00000000" w:rsidRPr="00000000" w14:paraId="0000005A">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BBSR in Python Codes, by Gao Jichen</w:t>
      </w:r>
    </w:p>
    <w:p w:rsidR="00000000" w:rsidDel="00000000" w:rsidP="00000000" w:rsidRDefault="00000000" w:rsidRPr="00000000" w14:paraId="0000005B">
      <w:pPr>
        <w:numPr>
          <w:ilvl w:val="1"/>
          <w:numId w:val="3"/>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Comparison &amp; Visualization in R Codes, by Cheng Tuoyuan</w:t>
      </w:r>
    </w:p>
    <w:sectPr>
      <w:footerReference r:id="rId18"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18" Type="http://schemas.openxmlformats.org/officeDocument/2006/relationships/footer" Target="footer1.xml"/><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