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4C43" w14:textId="77777777" w:rsidR="00B522E3" w:rsidRDefault="002D310F">
      <w:pPr>
        <w:rPr>
          <w:b/>
        </w:rPr>
      </w:pPr>
      <w:r>
        <w:rPr>
          <w:b/>
        </w:rPr>
        <w:t xml:space="preserve">Report of </w:t>
      </w:r>
      <w:r w:rsidR="00051A24" w:rsidRPr="00051A24">
        <w:rPr>
          <w:b/>
        </w:rPr>
        <w:t>Experiment 1</w:t>
      </w:r>
    </w:p>
    <w:p w14:paraId="73B13366" w14:textId="73A0B0A8" w:rsidR="009741BE" w:rsidRDefault="00863244">
      <w:r>
        <w:t>T</w:t>
      </w:r>
      <w:r w:rsidR="00F35BA6">
        <w:t xml:space="preserve">o estimate the strength of RMR strategy, </w:t>
      </w:r>
      <w:r w:rsidR="00FC31EE">
        <w:t>four</w:t>
      </w:r>
      <w:r w:rsidR="00F35BA6">
        <w:t xml:space="preserve"> </w:t>
      </w:r>
      <w:r w:rsidR="001C5EFE">
        <w:t>other</w:t>
      </w:r>
      <w:r w:rsidR="00F35BA6">
        <w:t xml:space="preserve"> strateg</w:t>
      </w:r>
      <w:r w:rsidR="00012025">
        <w:t xml:space="preserve">ies are </w:t>
      </w:r>
      <w:r w:rsidR="00DE5BFE">
        <w:t>compar</w:t>
      </w:r>
      <w:r w:rsidR="00012025">
        <w:t xml:space="preserve">ed </w:t>
      </w:r>
      <w:r w:rsidR="00F35BA6">
        <w:t>in</w:t>
      </w:r>
      <w:r w:rsidR="00960E75">
        <w:t xml:space="preserve"> the</w:t>
      </w:r>
      <w:r w:rsidR="00F35BA6">
        <w:t xml:space="preserve"> </w:t>
      </w:r>
      <w:r w:rsidR="004F0B14">
        <w:t>tests.</w:t>
      </w:r>
    </w:p>
    <w:p w14:paraId="16390D1F" w14:textId="18D8A399" w:rsidR="00112C84" w:rsidRDefault="002C489F" w:rsidP="00112C84">
      <w:pPr>
        <w:pStyle w:val="ListParagraph"/>
        <w:numPr>
          <w:ilvl w:val="0"/>
          <w:numId w:val="4"/>
        </w:numPr>
      </w:pPr>
      <w:r w:rsidRPr="002C489F">
        <w:t>Best-stock (‘BEST’)</w:t>
      </w:r>
      <w:r w:rsidR="009528EB">
        <w:t xml:space="preserve">: </w:t>
      </w:r>
      <w:r w:rsidR="00F030FF" w:rsidRPr="00F030FF">
        <w:t>Buys the best stock over the period</w:t>
      </w:r>
      <w:r w:rsidR="00416327">
        <w:t>.</w:t>
      </w:r>
      <w:r w:rsidR="00F030FF">
        <w:t xml:space="preserve"> </w:t>
      </w:r>
      <w:r w:rsidR="00416327">
        <w:t>I</w:t>
      </w:r>
      <w:r w:rsidR="00F030FF">
        <w:t xml:space="preserve">t is a hindsight and help compare the best data </w:t>
      </w:r>
      <w:r w:rsidR="002E12E3">
        <w:t>with other strategies</w:t>
      </w:r>
      <w:r w:rsidR="00F030FF">
        <w:t>.</w:t>
      </w:r>
    </w:p>
    <w:p w14:paraId="4F6EE270" w14:textId="4940D386" w:rsidR="002C489F" w:rsidRDefault="00301C2A" w:rsidP="00367DB4">
      <w:pPr>
        <w:pStyle w:val="ListParagraph"/>
        <w:numPr>
          <w:ilvl w:val="0"/>
          <w:numId w:val="4"/>
        </w:numPr>
      </w:pPr>
      <w:r w:rsidRPr="00301C2A">
        <w:t>Passive aggressive mean reversion (‘PAMR’)</w:t>
      </w:r>
      <w:r w:rsidR="00A57255">
        <w:t xml:space="preserve">: </w:t>
      </w:r>
      <w:r w:rsidR="002B1789" w:rsidRPr="002B1789">
        <w:t>Estimate</w:t>
      </w:r>
      <w:r w:rsidR="00B955B7">
        <w:t>s</w:t>
      </w:r>
      <w:r w:rsidR="002B1789" w:rsidRPr="002B1789">
        <w:t xml:space="preserve"> the next price relative as the inverse of last price relative</w:t>
      </w:r>
      <w:r w:rsidR="002B1789">
        <w:t xml:space="preserve">. </w:t>
      </w:r>
      <w:r w:rsidR="002B1789" w:rsidRPr="002B1789">
        <w:t>Adopt</w:t>
      </w:r>
      <w:r w:rsidR="00B955B7">
        <w:t>s</w:t>
      </w:r>
      <w:r w:rsidR="002B1789" w:rsidRPr="002B1789">
        <w:t xml:space="preserve"> the single-period mean reversion assumption, not satisfied with reality</w:t>
      </w:r>
      <w:r w:rsidR="002B1789">
        <w:t xml:space="preserve">. </w:t>
      </w:r>
    </w:p>
    <w:p w14:paraId="01D42261" w14:textId="7E7BBE01" w:rsidR="00E867AD" w:rsidRDefault="004B5090" w:rsidP="00CD5894">
      <w:pPr>
        <w:pStyle w:val="ListParagraph"/>
        <w:numPr>
          <w:ilvl w:val="0"/>
          <w:numId w:val="4"/>
        </w:numPr>
      </w:pPr>
      <w:r w:rsidRPr="004B5090">
        <w:t>Online Moving Average Reversion (‘OLMAR’)</w:t>
      </w:r>
      <w:r w:rsidR="00BC7504">
        <w:t xml:space="preserve">: </w:t>
      </w:r>
      <w:r w:rsidR="00383328" w:rsidRPr="00383328">
        <w:t>Predicts the next price relative using moving averages and explores the multi-period mean reversion</w:t>
      </w:r>
      <w:r w:rsidR="00383328">
        <w:t>.</w:t>
      </w:r>
    </w:p>
    <w:p w14:paraId="2F7AD326" w14:textId="6B7B59D8" w:rsidR="009741BE" w:rsidRDefault="004B5090" w:rsidP="005A7FF2">
      <w:pPr>
        <w:pStyle w:val="ListParagraph"/>
        <w:numPr>
          <w:ilvl w:val="0"/>
          <w:numId w:val="4"/>
        </w:numPr>
      </w:pPr>
      <w:r w:rsidRPr="004B5090">
        <w:t>Market</w:t>
      </w:r>
      <w:r w:rsidR="003A2978">
        <w:t>:</w:t>
      </w:r>
      <w:r w:rsidR="00E536C4">
        <w:t xml:space="preserve"> </w:t>
      </w:r>
      <w:r w:rsidR="005A7FF2">
        <w:t>Buys assets according to a pre-defined weight and holds until the end.</w:t>
      </w:r>
    </w:p>
    <w:p w14:paraId="60BF8D5D" w14:textId="487444A9" w:rsidR="00483CC0" w:rsidRDefault="001C2EB9">
      <w:r>
        <w:t>T</w:t>
      </w:r>
      <w:r w:rsidR="00483CC0">
        <w:t xml:space="preserve">here are three assumptions as below for the experiment and they are also </w:t>
      </w:r>
      <w:r w:rsidR="00D74138">
        <w:t>the basic principles</w:t>
      </w:r>
      <w:r w:rsidR="00483CC0">
        <w:t xml:space="preserve"> for the portfolio selection strategy. </w:t>
      </w:r>
    </w:p>
    <w:p w14:paraId="2F9F1F9F" w14:textId="1E0200AA" w:rsidR="00483CC0" w:rsidRPr="00483CC0" w:rsidRDefault="00483CC0" w:rsidP="00483CC0">
      <w:pPr>
        <w:pStyle w:val="ListParagraph"/>
        <w:numPr>
          <w:ilvl w:val="0"/>
          <w:numId w:val="1"/>
        </w:numPr>
      </w:pPr>
      <w:r w:rsidRPr="00483CC0">
        <w:t xml:space="preserve">Transaction cost:  </w:t>
      </w:r>
      <w:r w:rsidR="007A5F29">
        <w:t>There is n</w:t>
      </w:r>
      <w:r w:rsidRPr="00483CC0">
        <w:t>o transaction cost or taxes in this PS model;</w:t>
      </w:r>
    </w:p>
    <w:p w14:paraId="068CF3C0" w14:textId="1A61BA3E" w:rsidR="00483CC0" w:rsidRPr="00483CC0" w:rsidRDefault="00483CC0" w:rsidP="00483CC0">
      <w:pPr>
        <w:pStyle w:val="ListParagraph"/>
        <w:numPr>
          <w:ilvl w:val="0"/>
          <w:numId w:val="1"/>
        </w:numPr>
      </w:pPr>
      <w:r w:rsidRPr="00483CC0">
        <w:t xml:space="preserve">Market liquidity: </w:t>
      </w:r>
      <w:r w:rsidR="007A5F29">
        <w:t>O</w:t>
      </w:r>
      <w:r w:rsidRPr="00483CC0">
        <w:t>ne can buy and sell required quantities at last closing price of any given trading period;</w:t>
      </w:r>
      <w:r w:rsidR="00CC626B">
        <w:t xml:space="preserve"> </w:t>
      </w:r>
    </w:p>
    <w:p w14:paraId="686FD02F" w14:textId="2C9BA3D1" w:rsidR="00483CC0" w:rsidRDefault="00483CC0" w:rsidP="00483CC0">
      <w:pPr>
        <w:pStyle w:val="ListParagraph"/>
        <w:numPr>
          <w:ilvl w:val="0"/>
          <w:numId w:val="1"/>
        </w:numPr>
      </w:pPr>
      <w:r w:rsidRPr="00483CC0">
        <w:t xml:space="preserve"> Impact cost: </w:t>
      </w:r>
      <w:r w:rsidR="007A5F29">
        <w:t>M</w:t>
      </w:r>
      <w:r w:rsidRPr="00483CC0">
        <w:t>arket behavio</w:t>
      </w:r>
      <w:r w:rsidR="00D74138">
        <w:t>u</w:t>
      </w:r>
      <w:r w:rsidRPr="00483CC0">
        <w:t>r is not affected by a PS strategy.</w:t>
      </w:r>
    </w:p>
    <w:p w14:paraId="24928733" w14:textId="39E841DD" w:rsidR="004E121D" w:rsidRDefault="000F21F6" w:rsidP="004E121D">
      <w:r>
        <w:t>From</w:t>
      </w:r>
      <w:r w:rsidR="009B71E1">
        <w:t xml:space="preserve"> the aspect of the performance measure, six methods </w:t>
      </w:r>
      <w:r w:rsidR="009A5E57">
        <w:t xml:space="preserve">are </w:t>
      </w:r>
      <w:r w:rsidR="00AA12EE">
        <w:t>used to</w:t>
      </w:r>
      <w:r w:rsidR="009B71E1">
        <w:t xml:space="preserve"> estimate the results of the experiment. </w:t>
      </w:r>
    </w:p>
    <w:p w14:paraId="24596720" w14:textId="31B19E07" w:rsidR="00A52B17" w:rsidRPr="00DE3EE1" w:rsidRDefault="00212137" w:rsidP="00DE3EE1">
      <w:pPr>
        <w:pStyle w:val="ListParagraph"/>
        <w:numPr>
          <w:ilvl w:val="0"/>
          <w:numId w:val="2"/>
        </w:numPr>
      </w:pPr>
      <w:r w:rsidRPr="00DE3EE1">
        <w:rPr>
          <w:lang w:val="en-US"/>
        </w:rPr>
        <w:t>Portfolio Cumulative Wealth</w:t>
      </w:r>
      <w:r w:rsidR="00525E81">
        <w:rPr>
          <w:lang w:val="en-US"/>
        </w:rPr>
        <w:t xml:space="preserve">: </w:t>
      </w:r>
      <w:r w:rsidR="005B055F">
        <w:rPr>
          <w:lang w:val="en-US"/>
        </w:rPr>
        <w:t>Calculate</w:t>
      </w:r>
      <w:r w:rsidR="004D7413">
        <w:rPr>
          <w:lang w:val="en-US"/>
        </w:rPr>
        <w:t>s</w:t>
      </w:r>
      <w:r w:rsidR="005B055F">
        <w:rPr>
          <w:lang w:val="en-US"/>
        </w:rPr>
        <w:t xml:space="preserve"> t</w:t>
      </w:r>
      <w:r w:rsidR="00525E81">
        <w:rPr>
          <w:lang w:val="en-US"/>
        </w:rPr>
        <w:t xml:space="preserve">he wealth </w:t>
      </w:r>
      <w:r w:rsidR="005B055F">
        <w:rPr>
          <w:lang w:val="en-US"/>
        </w:rPr>
        <w:t>accumulated</w:t>
      </w:r>
      <w:r w:rsidR="005B055F">
        <w:rPr>
          <w:lang w:val="en-US"/>
        </w:rPr>
        <w:t xml:space="preserve"> during the</w:t>
      </w:r>
      <w:r w:rsidR="00525E81">
        <w:rPr>
          <w:lang w:val="en-US"/>
        </w:rPr>
        <w:t xml:space="preserve"> trading period;</w:t>
      </w:r>
    </w:p>
    <w:p w14:paraId="14D607ED" w14:textId="744D5F8A" w:rsidR="00570EFC" w:rsidRDefault="00DE3EE1" w:rsidP="00DE3EE1">
      <w:pPr>
        <w:pStyle w:val="ListParagraph"/>
        <w:numPr>
          <w:ilvl w:val="0"/>
          <w:numId w:val="2"/>
        </w:numPr>
      </w:pPr>
      <w:r>
        <w:t>Annualized Percentage Yield (APY)</w:t>
      </w:r>
      <w:r w:rsidR="0034349B">
        <w:t xml:space="preserve">: </w:t>
      </w:r>
      <w:r w:rsidR="007547E6">
        <w:t>T</w:t>
      </w:r>
      <w:r w:rsidR="001D08E6" w:rsidRPr="001D08E6">
        <w:t>akes the compounding effect</w:t>
      </w:r>
      <w:r w:rsidR="001D08E6">
        <w:t xml:space="preserve"> of the cumulative wealth;</w:t>
      </w:r>
    </w:p>
    <w:p w14:paraId="71FAC5A5" w14:textId="2C075E19" w:rsidR="00DE3EE1" w:rsidRDefault="00345993" w:rsidP="00762A84">
      <w:pPr>
        <w:pStyle w:val="ListParagraph"/>
        <w:numPr>
          <w:ilvl w:val="0"/>
          <w:numId w:val="2"/>
        </w:numPr>
      </w:pPr>
      <w:r>
        <w:t>Wining Ratio (</w:t>
      </w:r>
      <w:r w:rsidR="003912D5">
        <w:t>WT</w:t>
      </w:r>
      <w:r>
        <w:t>)</w:t>
      </w:r>
      <w:r w:rsidR="0050264F">
        <w:t xml:space="preserve">: </w:t>
      </w:r>
      <w:r w:rsidR="004D7413">
        <w:rPr>
          <w:rFonts w:hint="eastAsia"/>
        </w:rPr>
        <w:t>D</w:t>
      </w:r>
      <w:r w:rsidR="00762A84">
        <w:t>enotes the</w:t>
      </w:r>
      <w:r w:rsidR="00762A84">
        <w:t xml:space="preserve"> </w:t>
      </w:r>
      <w:r w:rsidR="00762A84">
        <w:t>percentage of cases</w:t>
      </w:r>
      <w:r w:rsidR="00F400B5">
        <w:t xml:space="preserve"> the</w:t>
      </w:r>
      <w:r w:rsidR="00762A84">
        <w:t xml:space="preserve"> strategy beats the</w:t>
      </w:r>
      <w:r w:rsidR="00762A84">
        <w:t xml:space="preserve"> </w:t>
      </w:r>
      <w:r w:rsidR="00762A84">
        <w:t>BAH strategy</w:t>
      </w:r>
      <w:r w:rsidR="00761009">
        <w:t>;</w:t>
      </w:r>
    </w:p>
    <w:p w14:paraId="3C7D2DC6" w14:textId="045D807A" w:rsidR="00345993" w:rsidRDefault="001D7413" w:rsidP="00DE3EE1">
      <w:pPr>
        <w:pStyle w:val="ListParagraph"/>
        <w:numPr>
          <w:ilvl w:val="0"/>
          <w:numId w:val="2"/>
        </w:numPr>
      </w:pPr>
      <w:r>
        <w:t>Sharpe Ratio</w:t>
      </w:r>
      <w:r w:rsidR="0011717D">
        <w:t xml:space="preserve">: </w:t>
      </w:r>
      <w:r w:rsidR="0011717D" w:rsidRPr="0011717D">
        <w:t>Evaluates the risk-adjusted return</w:t>
      </w:r>
      <w:r w:rsidR="0011717D">
        <w:t>;</w:t>
      </w:r>
    </w:p>
    <w:p w14:paraId="2951CEE3" w14:textId="7028FB3E" w:rsidR="001D7413" w:rsidRDefault="00A16765" w:rsidP="00DE3EE1">
      <w:pPr>
        <w:pStyle w:val="ListParagraph"/>
        <w:numPr>
          <w:ilvl w:val="0"/>
          <w:numId w:val="2"/>
        </w:numPr>
      </w:pPr>
      <w:r>
        <w:t>Maximum Drawdown (MDD)</w:t>
      </w:r>
      <w:r w:rsidR="0011717D">
        <w:t xml:space="preserve">: </w:t>
      </w:r>
      <w:r w:rsidR="00D26BC1" w:rsidRPr="00D26BC1">
        <w:t>Measures the down side risk</w:t>
      </w:r>
      <w:r w:rsidR="00D26BC1">
        <w:t>;</w:t>
      </w:r>
    </w:p>
    <w:p w14:paraId="427A98A8" w14:textId="247B99C4" w:rsidR="00570EFC" w:rsidRDefault="006659C0" w:rsidP="00C44C20">
      <w:pPr>
        <w:pStyle w:val="ListParagraph"/>
        <w:numPr>
          <w:ilvl w:val="0"/>
          <w:numId w:val="2"/>
        </w:numPr>
      </w:pPr>
      <w:r>
        <w:t>Calmar Ratios (CR)</w:t>
      </w:r>
      <w:r w:rsidR="00D26BC1">
        <w:t xml:space="preserve">: </w:t>
      </w:r>
      <w:r w:rsidR="003E369B" w:rsidRPr="003E369B">
        <w:t xml:space="preserve">Indicates performance of </w:t>
      </w:r>
      <w:r w:rsidR="008D54AD">
        <w:t xml:space="preserve">the </w:t>
      </w:r>
      <w:r w:rsidR="003E369B" w:rsidRPr="003E369B">
        <w:t>strategy concerning the drawdown risk</w:t>
      </w:r>
      <w:r w:rsidR="003E369B">
        <w:t>.</w:t>
      </w:r>
    </w:p>
    <w:p w14:paraId="743F35BA" w14:textId="77777777" w:rsidR="00D74138" w:rsidRDefault="0068631C" w:rsidP="00D74138">
      <w:r>
        <w:t>With respect to the parameters in the experiments, we simply set the length of window and sensitivity empirically without tuning for each dataset separately.</w:t>
      </w:r>
      <w:r w:rsidR="002C6B5A">
        <w:t xml:space="preserve"> For all data set, the length of window and sensitivity are both 5. </w:t>
      </w:r>
    </w:p>
    <w:p w14:paraId="37FD1276" w14:textId="77777777" w:rsidR="003F23CD" w:rsidRDefault="003F23CD" w:rsidP="00D74138">
      <w:r>
        <w:t>Regarding the data set, six data sets are selected for the experiments. They have long period and short period and own various features.</w:t>
      </w:r>
      <w:r w:rsidR="009E36A2">
        <w:t xml:space="preserve"> The details are as shown in the below table.</w:t>
      </w:r>
    </w:p>
    <w:tbl>
      <w:tblPr>
        <w:tblW w:w="0" w:type="auto"/>
        <w:jc w:val="center"/>
        <w:tblCellMar>
          <w:left w:w="0" w:type="dxa"/>
          <w:right w:w="0" w:type="dxa"/>
        </w:tblCellMar>
        <w:tblLook w:val="0420" w:firstRow="1" w:lastRow="0" w:firstColumn="0" w:lastColumn="0" w:noHBand="0" w:noVBand="1"/>
      </w:tblPr>
      <w:tblGrid>
        <w:gridCol w:w="1143"/>
        <w:gridCol w:w="1016"/>
        <w:gridCol w:w="2719"/>
        <w:gridCol w:w="915"/>
        <w:gridCol w:w="1055"/>
      </w:tblGrid>
      <w:tr w:rsidR="00A7458E" w:rsidRPr="00EA20BE" w14:paraId="06FFBA85" w14:textId="77777777" w:rsidTr="00EA20BE">
        <w:trPr>
          <w:trHeight w:val="20"/>
          <w:jc w:val="center"/>
        </w:trPr>
        <w:tc>
          <w:tcPr>
            <w:tcW w:w="0" w:type="auto"/>
            <w:tcBorders>
              <w:top w:val="single" w:sz="8" w:space="0" w:color="000000"/>
              <w:left w:val="nil"/>
              <w:bottom w:val="single" w:sz="8" w:space="0" w:color="000000"/>
              <w:right w:val="nil"/>
            </w:tcBorders>
            <w:shd w:val="clear" w:color="auto" w:fill="auto"/>
            <w:tcMar>
              <w:top w:w="97" w:type="dxa"/>
              <w:left w:w="193" w:type="dxa"/>
              <w:bottom w:w="97" w:type="dxa"/>
              <w:right w:w="193" w:type="dxa"/>
            </w:tcMar>
            <w:hideMark/>
          </w:tcPr>
          <w:p w14:paraId="02BA164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b/>
                <w:bCs/>
                <w:color w:val="000000" w:themeColor="text1"/>
                <w:kern w:val="24"/>
                <w:szCs w:val="48"/>
                <w:lang w:val="en-US"/>
              </w:rPr>
              <w:t>Data set</w:t>
            </w:r>
          </w:p>
        </w:tc>
        <w:tc>
          <w:tcPr>
            <w:tcW w:w="0" w:type="auto"/>
            <w:tcBorders>
              <w:top w:val="single" w:sz="8" w:space="0" w:color="000000"/>
              <w:left w:val="nil"/>
              <w:bottom w:val="single" w:sz="8" w:space="0" w:color="000000"/>
              <w:right w:val="nil"/>
            </w:tcBorders>
            <w:shd w:val="clear" w:color="auto" w:fill="auto"/>
            <w:tcMar>
              <w:top w:w="97" w:type="dxa"/>
              <w:left w:w="193" w:type="dxa"/>
              <w:bottom w:w="97" w:type="dxa"/>
              <w:right w:w="193" w:type="dxa"/>
            </w:tcMar>
            <w:hideMark/>
          </w:tcPr>
          <w:p w14:paraId="37F67538"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b/>
                <w:bCs/>
                <w:color w:val="000000" w:themeColor="text1"/>
                <w:kern w:val="24"/>
                <w:szCs w:val="48"/>
                <w:lang w:val="en-US"/>
              </w:rPr>
              <w:t>Region</w:t>
            </w:r>
          </w:p>
        </w:tc>
        <w:tc>
          <w:tcPr>
            <w:tcW w:w="0" w:type="auto"/>
            <w:tcBorders>
              <w:top w:val="single" w:sz="8" w:space="0" w:color="000000"/>
              <w:left w:val="nil"/>
              <w:bottom w:val="single" w:sz="8" w:space="0" w:color="000000"/>
              <w:right w:val="nil"/>
            </w:tcBorders>
            <w:shd w:val="clear" w:color="auto" w:fill="auto"/>
            <w:tcMar>
              <w:top w:w="97" w:type="dxa"/>
              <w:left w:w="193" w:type="dxa"/>
              <w:bottom w:w="97" w:type="dxa"/>
              <w:right w:w="193" w:type="dxa"/>
            </w:tcMar>
            <w:hideMark/>
          </w:tcPr>
          <w:p w14:paraId="04FBB8B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b/>
                <w:bCs/>
                <w:color w:val="000000" w:themeColor="text1"/>
                <w:kern w:val="24"/>
                <w:szCs w:val="48"/>
                <w:lang w:val="en-US"/>
              </w:rPr>
              <w:t>Time Frame</w:t>
            </w:r>
          </w:p>
        </w:tc>
        <w:tc>
          <w:tcPr>
            <w:tcW w:w="0" w:type="auto"/>
            <w:tcBorders>
              <w:top w:val="single" w:sz="8" w:space="0" w:color="000000"/>
              <w:left w:val="nil"/>
              <w:bottom w:val="single" w:sz="8" w:space="0" w:color="000000"/>
              <w:right w:val="nil"/>
            </w:tcBorders>
            <w:shd w:val="clear" w:color="auto" w:fill="auto"/>
            <w:tcMar>
              <w:top w:w="97" w:type="dxa"/>
              <w:left w:w="193" w:type="dxa"/>
              <w:bottom w:w="97" w:type="dxa"/>
              <w:right w:w="193" w:type="dxa"/>
            </w:tcMar>
            <w:hideMark/>
          </w:tcPr>
          <w:p w14:paraId="47EB21D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b/>
                <w:bCs/>
                <w:color w:val="000000" w:themeColor="text1"/>
                <w:kern w:val="24"/>
                <w:szCs w:val="48"/>
                <w:lang w:val="en-US"/>
              </w:rPr>
              <w:t>#days</w:t>
            </w:r>
          </w:p>
        </w:tc>
        <w:tc>
          <w:tcPr>
            <w:tcW w:w="0" w:type="auto"/>
            <w:tcBorders>
              <w:top w:val="single" w:sz="8" w:space="0" w:color="000000"/>
              <w:left w:val="nil"/>
              <w:bottom w:val="single" w:sz="8" w:space="0" w:color="000000"/>
              <w:right w:val="nil"/>
            </w:tcBorders>
            <w:shd w:val="clear" w:color="auto" w:fill="auto"/>
            <w:tcMar>
              <w:top w:w="97" w:type="dxa"/>
              <w:left w:w="193" w:type="dxa"/>
              <w:bottom w:w="97" w:type="dxa"/>
              <w:right w:w="193" w:type="dxa"/>
            </w:tcMar>
            <w:hideMark/>
          </w:tcPr>
          <w:p w14:paraId="227F417A"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b/>
                <w:bCs/>
                <w:color w:val="000000" w:themeColor="text1"/>
                <w:kern w:val="24"/>
                <w:szCs w:val="48"/>
                <w:lang w:val="en-US"/>
              </w:rPr>
              <w:t>#assets</w:t>
            </w:r>
          </w:p>
        </w:tc>
      </w:tr>
      <w:tr w:rsidR="00A7458E" w:rsidRPr="00EA20BE" w14:paraId="5367599E" w14:textId="77777777" w:rsidTr="00EA20BE">
        <w:trPr>
          <w:trHeight w:val="20"/>
          <w:jc w:val="center"/>
        </w:trPr>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1BA32196"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DJIA</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5C4C43D8"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US</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74D392D4"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14/01/2001 - 14/01-2003</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73B4B54A"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507</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769BD5D6"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30</w:t>
            </w:r>
          </w:p>
        </w:tc>
      </w:tr>
      <w:tr w:rsidR="00A7458E" w:rsidRPr="00EA20BE" w14:paraId="35123052" w14:textId="77777777" w:rsidTr="00EA20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3EE5EB60"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SP500</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158387B6"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US</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1FA0FAE"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02/01/1998 - 31/01/2003</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13879C1"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1276</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0EA39830"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25</w:t>
            </w:r>
          </w:p>
        </w:tc>
      </w:tr>
      <w:tr w:rsidR="00A7458E" w:rsidRPr="00EA20BE" w14:paraId="15A6632E" w14:textId="77777777" w:rsidTr="00EA20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15D48D30"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TSE</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16392449"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CA</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931C0B0"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04/01/1994 - 31/12/1998</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4B9F44E"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1259</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1CDE4268"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88</w:t>
            </w:r>
          </w:p>
        </w:tc>
      </w:tr>
      <w:tr w:rsidR="00A7458E" w:rsidRPr="00EA20BE" w14:paraId="3986FB7E" w14:textId="77777777" w:rsidTr="00EA20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2B37958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MSCI</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0E714B1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Global</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B5B9245"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01/04/2006 – 31/03/2010</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30728C5"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1043</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4B4073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24</w:t>
            </w:r>
          </w:p>
        </w:tc>
      </w:tr>
      <w:tr w:rsidR="00A7458E" w:rsidRPr="00EA20BE" w14:paraId="3287983D" w14:textId="77777777" w:rsidTr="00EA20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0A6AD124"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NYSE(O)</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3EE606AE"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US</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199B0852"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03/04-1962 – 31/12/1984</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6B9AF3B9"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5651</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3284FA6B"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36</w:t>
            </w:r>
          </w:p>
        </w:tc>
      </w:tr>
      <w:tr w:rsidR="00A7458E" w:rsidRPr="00EA20BE" w14:paraId="15AB3333" w14:textId="77777777" w:rsidTr="00EA20BE">
        <w:trPr>
          <w:trHeight w:val="20"/>
          <w:jc w:val="center"/>
        </w:trPr>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16E82CF0"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NYSE(N)</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64109F52"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US</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6CBCE61A"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01/01/1985 – 30/06/2010</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25D46111"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6431</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5F9C991F" w14:textId="77777777" w:rsidR="00DE793B" w:rsidRPr="00DE793B" w:rsidRDefault="00DE793B" w:rsidP="00DE793B">
            <w:pPr>
              <w:spacing w:after="0" w:line="240" w:lineRule="auto"/>
              <w:jc w:val="center"/>
              <w:rPr>
                <w:rFonts w:ascii="Arial" w:eastAsia="Times New Roman" w:hAnsi="Arial" w:cs="Arial"/>
                <w:szCs w:val="36"/>
              </w:rPr>
            </w:pPr>
            <w:r w:rsidRPr="00DE793B">
              <w:rPr>
                <w:rFonts w:ascii="Calibri" w:eastAsia="Times New Roman" w:hAnsi="Calibri" w:cs="Arial"/>
                <w:color w:val="000000" w:themeColor="text1"/>
                <w:kern w:val="24"/>
                <w:szCs w:val="48"/>
                <w:lang w:val="en-US"/>
              </w:rPr>
              <w:t>23</w:t>
            </w:r>
          </w:p>
        </w:tc>
      </w:tr>
    </w:tbl>
    <w:p w14:paraId="63D7E572" w14:textId="77777777" w:rsidR="009F06AC" w:rsidRDefault="009F06AC" w:rsidP="00D74138"/>
    <w:p w14:paraId="6C8A2FE9" w14:textId="77777777" w:rsidR="009E36A2" w:rsidRDefault="009F06AC" w:rsidP="00D74138">
      <w:r>
        <w:lastRenderedPageBreak/>
        <w:t xml:space="preserve">In the experiment 1, we exert the six data </w:t>
      </w:r>
      <w:r w:rsidR="00E50F4C">
        <w:t xml:space="preserve">sets to draw the plots and below are </w:t>
      </w:r>
      <w:r>
        <w:t xml:space="preserve">the two of them for the result analysis purpose. </w:t>
      </w:r>
      <w:r w:rsidR="005E60C1">
        <w:t xml:space="preserve">First plot is the portfolio cumulative wealth of DJIA and second is from MSCI. As we can see, the RMR strategy which is black line in the plot hovers over the other strategies and have good results. </w:t>
      </w:r>
      <w:r w:rsidR="00FF3673">
        <w:t xml:space="preserve">The result is identical to the original literature. </w:t>
      </w:r>
    </w:p>
    <w:p w14:paraId="0C5CF442" w14:textId="77777777" w:rsidR="009F06AC" w:rsidRDefault="00B95C9D" w:rsidP="001B3542">
      <w:pPr>
        <w:jc w:val="center"/>
      </w:pPr>
      <w:r>
        <w:rPr>
          <w:noProof/>
        </w:rPr>
        <w:drawing>
          <wp:inline distT="0" distB="0" distL="0" distR="0" wp14:anchorId="0FDBB63F" wp14:editId="29E53FEA">
            <wp:extent cx="5038725" cy="3028483"/>
            <wp:effectExtent l="0" t="0" r="0" b="635"/>
            <wp:docPr id="2" name="Picture 1">
              <a:extLst xmlns:a="http://schemas.openxmlformats.org/drawingml/2006/main">
                <a:ext uri="{FF2B5EF4-FFF2-40B4-BE49-F238E27FC236}">
                  <a16:creationId xmlns:a16="http://schemas.microsoft.com/office/drawing/2014/main" id="{E388ACA1-1B4F-438E-8964-AD1AFC6E4F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388ACA1-1B4F-438E-8964-AD1AFC6E4F83}"/>
                        </a:ext>
                      </a:extLst>
                    </pic:cNvPr>
                    <pic:cNvPicPr>
                      <a:picLocks noChangeAspect="1"/>
                    </pic:cNvPicPr>
                  </pic:nvPicPr>
                  <pic:blipFill>
                    <a:blip r:embed="rId5"/>
                    <a:stretch>
                      <a:fillRect/>
                    </a:stretch>
                  </pic:blipFill>
                  <pic:spPr>
                    <a:xfrm>
                      <a:off x="0" y="0"/>
                      <a:ext cx="5043369" cy="3031274"/>
                    </a:xfrm>
                    <a:prstGeom prst="rect">
                      <a:avLst/>
                    </a:prstGeom>
                  </pic:spPr>
                </pic:pic>
              </a:graphicData>
            </a:graphic>
          </wp:inline>
        </w:drawing>
      </w:r>
    </w:p>
    <w:p w14:paraId="65135021" w14:textId="77777777" w:rsidR="00142F33" w:rsidRDefault="00142F33" w:rsidP="00D74138"/>
    <w:p w14:paraId="30F5FF1F" w14:textId="77777777" w:rsidR="002C6B5A" w:rsidRDefault="00D16AC2" w:rsidP="001B3542">
      <w:pPr>
        <w:jc w:val="center"/>
      </w:pPr>
      <w:r>
        <w:rPr>
          <w:noProof/>
        </w:rPr>
        <w:drawing>
          <wp:inline distT="0" distB="0" distL="0" distR="0" wp14:anchorId="30A54135" wp14:editId="5200944E">
            <wp:extent cx="4981575" cy="2894788"/>
            <wp:effectExtent l="0" t="0" r="0" b="1270"/>
            <wp:docPr id="1" name="Picture 1">
              <a:extLst xmlns:a="http://schemas.openxmlformats.org/drawingml/2006/main">
                <a:ext uri="{FF2B5EF4-FFF2-40B4-BE49-F238E27FC236}">
                  <a16:creationId xmlns:a16="http://schemas.microsoft.com/office/drawing/2014/main" id="{21527F6E-F1C8-49D9-AADB-FFC907396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1527F6E-F1C8-49D9-AADB-FFC907396763}"/>
                        </a:ext>
                      </a:extLst>
                    </pic:cNvPr>
                    <pic:cNvPicPr>
                      <a:picLocks noChangeAspect="1"/>
                    </pic:cNvPicPr>
                  </pic:nvPicPr>
                  <pic:blipFill>
                    <a:blip r:embed="rId6"/>
                    <a:stretch>
                      <a:fillRect/>
                    </a:stretch>
                  </pic:blipFill>
                  <pic:spPr>
                    <a:xfrm>
                      <a:off x="0" y="0"/>
                      <a:ext cx="4993578" cy="2901763"/>
                    </a:xfrm>
                    <a:prstGeom prst="rect">
                      <a:avLst/>
                    </a:prstGeom>
                  </pic:spPr>
                </pic:pic>
              </a:graphicData>
            </a:graphic>
          </wp:inline>
        </w:drawing>
      </w:r>
    </w:p>
    <w:p w14:paraId="684908C6" w14:textId="77777777" w:rsidR="0068631C" w:rsidRDefault="00B157D7" w:rsidP="00B157D7">
      <w:r w:rsidRPr="00B157D7">
        <w:t>RMR strategy is promising and reliable PS technique to achieve high return</w:t>
      </w:r>
      <w:r>
        <w:t xml:space="preserve">. </w:t>
      </w:r>
      <w:r w:rsidRPr="00B157D7">
        <w:t>Compared with the existing mean reversion strategies (PAMR and OLMAR), RMR strategies obtained higher cumulative wealth on the datasets NYSE(O), NYSE(N) and DJA.</w:t>
      </w:r>
      <w:r w:rsidR="003A7145">
        <w:t xml:space="preserve"> </w:t>
      </w:r>
    </w:p>
    <w:p w14:paraId="54E27CD4" w14:textId="5F3E8C2E" w:rsidR="003A7145" w:rsidRDefault="003A7145" w:rsidP="00B157D7">
      <w:r>
        <w:t>In addition, one innovation here is to adopt ARMA algo</w:t>
      </w:r>
      <w:r w:rsidR="000074BF">
        <w:t>rithm</w:t>
      </w:r>
      <w:r>
        <w:t xml:space="preserve"> into the RMR strategy. </w:t>
      </w:r>
      <w:r w:rsidR="00212137">
        <w:t>And the above two plots with orange line ind</w:t>
      </w:r>
      <w:bookmarkStart w:id="0" w:name="_GoBack"/>
      <w:bookmarkEnd w:id="0"/>
      <w:r w:rsidR="00212137">
        <w:t>icate that the adapted strategy works well as well.</w:t>
      </w:r>
    </w:p>
    <w:sectPr w:rsidR="003A7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0E2C"/>
    <w:multiLevelType w:val="hybridMultilevel"/>
    <w:tmpl w:val="4830ED06"/>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375F3C"/>
    <w:multiLevelType w:val="hybridMultilevel"/>
    <w:tmpl w:val="9DCE8DF8"/>
    <w:lvl w:ilvl="0" w:tplc="F5EC1B66">
      <w:start w:val="1"/>
      <w:numFmt w:val="bullet"/>
      <w:lvlText w:val="•"/>
      <w:lvlJc w:val="left"/>
      <w:pPr>
        <w:tabs>
          <w:tab w:val="num" w:pos="720"/>
        </w:tabs>
        <w:ind w:left="720" w:hanging="360"/>
      </w:pPr>
      <w:rPr>
        <w:rFonts w:ascii="Arial" w:hAnsi="Arial" w:hint="default"/>
      </w:rPr>
    </w:lvl>
    <w:lvl w:ilvl="1" w:tplc="6AB8A540">
      <w:start w:val="1"/>
      <w:numFmt w:val="bullet"/>
      <w:lvlText w:val="•"/>
      <w:lvlJc w:val="left"/>
      <w:pPr>
        <w:tabs>
          <w:tab w:val="num" w:pos="1440"/>
        </w:tabs>
        <w:ind w:left="1440" w:hanging="360"/>
      </w:pPr>
      <w:rPr>
        <w:rFonts w:ascii="Arial" w:hAnsi="Arial" w:hint="default"/>
      </w:rPr>
    </w:lvl>
    <w:lvl w:ilvl="2" w:tplc="38849FAE" w:tentative="1">
      <w:start w:val="1"/>
      <w:numFmt w:val="bullet"/>
      <w:lvlText w:val="•"/>
      <w:lvlJc w:val="left"/>
      <w:pPr>
        <w:tabs>
          <w:tab w:val="num" w:pos="2160"/>
        </w:tabs>
        <w:ind w:left="2160" w:hanging="360"/>
      </w:pPr>
      <w:rPr>
        <w:rFonts w:ascii="Arial" w:hAnsi="Arial" w:hint="default"/>
      </w:rPr>
    </w:lvl>
    <w:lvl w:ilvl="3" w:tplc="8496DE4E" w:tentative="1">
      <w:start w:val="1"/>
      <w:numFmt w:val="bullet"/>
      <w:lvlText w:val="•"/>
      <w:lvlJc w:val="left"/>
      <w:pPr>
        <w:tabs>
          <w:tab w:val="num" w:pos="2880"/>
        </w:tabs>
        <w:ind w:left="2880" w:hanging="360"/>
      </w:pPr>
      <w:rPr>
        <w:rFonts w:ascii="Arial" w:hAnsi="Arial" w:hint="default"/>
      </w:rPr>
    </w:lvl>
    <w:lvl w:ilvl="4" w:tplc="F546371A" w:tentative="1">
      <w:start w:val="1"/>
      <w:numFmt w:val="bullet"/>
      <w:lvlText w:val="•"/>
      <w:lvlJc w:val="left"/>
      <w:pPr>
        <w:tabs>
          <w:tab w:val="num" w:pos="3600"/>
        </w:tabs>
        <w:ind w:left="3600" w:hanging="360"/>
      </w:pPr>
      <w:rPr>
        <w:rFonts w:ascii="Arial" w:hAnsi="Arial" w:hint="default"/>
      </w:rPr>
    </w:lvl>
    <w:lvl w:ilvl="5" w:tplc="66B003FA" w:tentative="1">
      <w:start w:val="1"/>
      <w:numFmt w:val="bullet"/>
      <w:lvlText w:val="•"/>
      <w:lvlJc w:val="left"/>
      <w:pPr>
        <w:tabs>
          <w:tab w:val="num" w:pos="4320"/>
        </w:tabs>
        <w:ind w:left="4320" w:hanging="360"/>
      </w:pPr>
      <w:rPr>
        <w:rFonts w:ascii="Arial" w:hAnsi="Arial" w:hint="default"/>
      </w:rPr>
    </w:lvl>
    <w:lvl w:ilvl="6" w:tplc="F93627B8" w:tentative="1">
      <w:start w:val="1"/>
      <w:numFmt w:val="bullet"/>
      <w:lvlText w:val="•"/>
      <w:lvlJc w:val="left"/>
      <w:pPr>
        <w:tabs>
          <w:tab w:val="num" w:pos="5040"/>
        </w:tabs>
        <w:ind w:left="5040" w:hanging="360"/>
      </w:pPr>
      <w:rPr>
        <w:rFonts w:ascii="Arial" w:hAnsi="Arial" w:hint="default"/>
      </w:rPr>
    </w:lvl>
    <w:lvl w:ilvl="7" w:tplc="20304DC0" w:tentative="1">
      <w:start w:val="1"/>
      <w:numFmt w:val="bullet"/>
      <w:lvlText w:val="•"/>
      <w:lvlJc w:val="left"/>
      <w:pPr>
        <w:tabs>
          <w:tab w:val="num" w:pos="5760"/>
        </w:tabs>
        <w:ind w:left="5760" w:hanging="360"/>
      </w:pPr>
      <w:rPr>
        <w:rFonts w:ascii="Arial" w:hAnsi="Arial" w:hint="default"/>
      </w:rPr>
    </w:lvl>
    <w:lvl w:ilvl="8" w:tplc="5296CF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715ADA"/>
    <w:multiLevelType w:val="hybridMultilevel"/>
    <w:tmpl w:val="E0944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B618C"/>
    <w:multiLevelType w:val="hybridMultilevel"/>
    <w:tmpl w:val="01E06D00"/>
    <w:lvl w:ilvl="0" w:tplc="1840D61C">
      <w:start w:val="1"/>
      <w:numFmt w:val="bullet"/>
      <w:lvlText w:val="•"/>
      <w:lvlJc w:val="left"/>
      <w:pPr>
        <w:tabs>
          <w:tab w:val="num" w:pos="720"/>
        </w:tabs>
        <w:ind w:left="720" w:hanging="360"/>
      </w:pPr>
      <w:rPr>
        <w:rFonts w:ascii="Arial" w:hAnsi="Arial" w:hint="default"/>
      </w:rPr>
    </w:lvl>
    <w:lvl w:ilvl="1" w:tplc="972C22A4">
      <w:start w:val="1"/>
      <w:numFmt w:val="bullet"/>
      <w:lvlText w:val="•"/>
      <w:lvlJc w:val="left"/>
      <w:pPr>
        <w:tabs>
          <w:tab w:val="num" w:pos="1440"/>
        </w:tabs>
        <w:ind w:left="1440" w:hanging="360"/>
      </w:pPr>
      <w:rPr>
        <w:rFonts w:ascii="Arial" w:hAnsi="Arial" w:hint="default"/>
      </w:rPr>
    </w:lvl>
    <w:lvl w:ilvl="2" w:tplc="5EC669A2" w:tentative="1">
      <w:start w:val="1"/>
      <w:numFmt w:val="bullet"/>
      <w:lvlText w:val="•"/>
      <w:lvlJc w:val="left"/>
      <w:pPr>
        <w:tabs>
          <w:tab w:val="num" w:pos="2160"/>
        </w:tabs>
        <w:ind w:left="2160" w:hanging="360"/>
      </w:pPr>
      <w:rPr>
        <w:rFonts w:ascii="Arial" w:hAnsi="Arial" w:hint="default"/>
      </w:rPr>
    </w:lvl>
    <w:lvl w:ilvl="3" w:tplc="0A90B176" w:tentative="1">
      <w:start w:val="1"/>
      <w:numFmt w:val="bullet"/>
      <w:lvlText w:val="•"/>
      <w:lvlJc w:val="left"/>
      <w:pPr>
        <w:tabs>
          <w:tab w:val="num" w:pos="2880"/>
        </w:tabs>
        <w:ind w:left="2880" w:hanging="360"/>
      </w:pPr>
      <w:rPr>
        <w:rFonts w:ascii="Arial" w:hAnsi="Arial" w:hint="default"/>
      </w:rPr>
    </w:lvl>
    <w:lvl w:ilvl="4" w:tplc="86EA238C" w:tentative="1">
      <w:start w:val="1"/>
      <w:numFmt w:val="bullet"/>
      <w:lvlText w:val="•"/>
      <w:lvlJc w:val="left"/>
      <w:pPr>
        <w:tabs>
          <w:tab w:val="num" w:pos="3600"/>
        </w:tabs>
        <w:ind w:left="3600" w:hanging="360"/>
      </w:pPr>
      <w:rPr>
        <w:rFonts w:ascii="Arial" w:hAnsi="Arial" w:hint="default"/>
      </w:rPr>
    </w:lvl>
    <w:lvl w:ilvl="5" w:tplc="1D5CDC8E" w:tentative="1">
      <w:start w:val="1"/>
      <w:numFmt w:val="bullet"/>
      <w:lvlText w:val="•"/>
      <w:lvlJc w:val="left"/>
      <w:pPr>
        <w:tabs>
          <w:tab w:val="num" w:pos="4320"/>
        </w:tabs>
        <w:ind w:left="4320" w:hanging="360"/>
      </w:pPr>
      <w:rPr>
        <w:rFonts w:ascii="Arial" w:hAnsi="Arial" w:hint="default"/>
      </w:rPr>
    </w:lvl>
    <w:lvl w:ilvl="6" w:tplc="C366CC38" w:tentative="1">
      <w:start w:val="1"/>
      <w:numFmt w:val="bullet"/>
      <w:lvlText w:val="•"/>
      <w:lvlJc w:val="left"/>
      <w:pPr>
        <w:tabs>
          <w:tab w:val="num" w:pos="5040"/>
        </w:tabs>
        <w:ind w:left="5040" w:hanging="360"/>
      </w:pPr>
      <w:rPr>
        <w:rFonts w:ascii="Arial" w:hAnsi="Arial" w:hint="default"/>
      </w:rPr>
    </w:lvl>
    <w:lvl w:ilvl="7" w:tplc="3AFC4FEE" w:tentative="1">
      <w:start w:val="1"/>
      <w:numFmt w:val="bullet"/>
      <w:lvlText w:val="•"/>
      <w:lvlJc w:val="left"/>
      <w:pPr>
        <w:tabs>
          <w:tab w:val="num" w:pos="5760"/>
        </w:tabs>
        <w:ind w:left="5760" w:hanging="360"/>
      </w:pPr>
      <w:rPr>
        <w:rFonts w:ascii="Arial" w:hAnsi="Arial" w:hint="default"/>
      </w:rPr>
    </w:lvl>
    <w:lvl w:ilvl="8" w:tplc="C896C9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79E28CB"/>
    <w:multiLevelType w:val="hybridMultilevel"/>
    <w:tmpl w:val="5A62F25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C0"/>
    <w:rsid w:val="000074BF"/>
    <w:rsid w:val="00012025"/>
    <w:rsid w:val="00022E06"/>
    <w:rsid w:val="00051A17"/>
    <w:rsid w:val="00051A24"/>
    <w:rsid w:val="0006688D"/>
    <w:rsid w:val="000D3C21"/>
    <w:rsid w:val="000E4D07"/>
    <w:rsid w:val="000F21F6"/>
    <w:rsid w:val="00111AE9"/>
    <w:rsid w:val="00112C84"/>
    <w:rsid w:val="00113E71"/>
    <w:rsid w:val="0011717D"/>
    <w:rsid w:val="00142F33"/>
    <w:rsid w:val="001644C3"/>
    <w:rsid w:val="001866D0"/>
    <w:rsid w:val="001B3542"/>
    <w:rsid w:val="001C2EB9"/>
    <w:rsid w:val="001C5EFE"/>
    <w:rsid w:val="001D08E6"/>
    <w:rsid w:val="001D14EC"/>
    <w:rsid w:val="001D7413"/>
    <w:rsid w:val="00212137"/>
    <w:rsid w:val="00266286"/>
    <w:rsid w:val="00275705"/>
    <w:rsid w:val="002B1789"/>
    <w:rsid w:val="002C489F"/>
    <w:rsid w:val="002C6B5A"/>
    <w:rsid w:val="002D310F"/>
    <w:rsid w:val="002E12E3"/>
    <w:rsid w:val="00301C2A"/>
    <w:rsid w:val="0034349B"/>
    <w:rsid w:val="00345993"/>
    <w:rsid w:val="0036521E"/>
    <w:rsid w:val="00383328"/>
    <w:rsid w:val="003912D5"/>
    <w:rsid w:val="003A2978"/>
    <w:rsid w:val="003A7145"/>
    <w:rsid w:val="003E369B"/>
    <w:rsid w:val="003F23CD"/>
    <w:rsid w:val="00416327"/>
    <w:rsid w:val="00416646"/>
    <w:rsid w:val="00472380"/>
    <w:rsid w:val="004764AE"/>
    <w:rsid w:val="00483CC0"/>
    <w:rsid w:val="004A1F62"/>
    <w:rsid w:val="004B5090"/>
    <w:rsid w:val="004D7413"/>
    <w:rsid w:val="004E121D"/>
    <w:rsid w:val="004F0B14"/>
    <w:rsid w:val="00501AF2"/>
    <w:rsid w:val="0050264F"/>
    <w:rsid w:val="00525E81"/>
    <w:rsid w:val="00566A25"/>
    <w:rsid w:val="00570EFC"/>
    <w:rsid w:val="005A7FF2"/>
    <w:rsid w:val="005B055F"/>
    <w:rsid w:val="005E60C1"/>
    <w:rsid w:val="006659C0"/>
    <w:rsid w:val="00685B91"/>
    <w:rsid w:val="0068631C"/>
    <w:rsid w:val="006934E2"/>
    <w:rsid w:val="006D4822"/>
    <w:rsid w:val="006E1317"/>
    <w:rsid w:val="00734BF0"/>
    <w:rsid w:val="007547E6"/>
    <w:rsid w:val="00761009"/>
    <w:rsid w:val="00762A84"/>
    <w:rsid w:val="007A5F29"/>
    <w:rsid w:val="007A6953"/>
    <w:rsid w:val="007C75B5"/>
    <w:rsid w:val="007D1C55"/>
    <w:rsid w:val="007F2CDB"/>
    <w:rsid w:val="00863244"/>
    <w:rsid w:val="008C09B7"/>
    <w:rsid w:val="008D54AD"/>
    <w:rsid w:val="00911E42"/>
    <w:rsid w:val="009528EB"/>
    <w:rsid w:val="00960E75"/>
    <w:rsid w:val="00972B30"/>
    <w:rsid w:val="009741BE"/>
    <w:rsid w:val="009879C7"/>
    <w:rsid w:val="009A5E57"/>
    <w:rsid w:val="009B71E1"/>
    <w:rsid w:val="009E36A2"/>
    <w:rsid w:val="009F06AC"/>
    <w:rsid w:val="00A16765"/>
    <w:rsid w:val="00A52B17"/>
    <w:rsid w:val="00A57255"/>
    <w:rsid w:val="00A71633"/>
    <w:rsid w:val="00A7458E"/>
    <w:rsid w:val="00AA12EE"/>
    <w:rsid w:val="00AA4046"/>
    <w:rsid w:val="00AB418B"/>
    <w:rsid w:val="00AD7BA2"/>
    <w:rsid w:val="00B157D7"/>
    <w:rsid w:val="00B27E5E"/>
    <w:rsid w:val="00B522E3"/>
    <w:rsid w:val="00B955B7"/>
    <w:rsid w:val="00B95C9D"/>
    <w:rsid w:val="00BC7504"/>
    <w:rsid w:val="00BD244C"/>
    <w:rsid w:val="00BD2653"/>
    <w:rsid w:val="00CC626B"/>
    <w:rsid w:val="00D16AC2"/>
    <w:rsid w:val="00D26BC1"/>
    <w:rsid w:val="00D74138"/>
    <w:rsid w:val="00D954F5"/>
    <w:rsid w:val="00DC1374"/>
    <w:rsid w:val="00DE3EE1"/>
    <w:rsid w:val="00DE5BFE"/>
    <w:rsid w:val="00DE793B"/>
    <w:rsid w:val="00E156CB"/>
    <w:rsid w:val="00E50F4C"/>
    <w:rsid w:val="00E536C4"/>
    <w:rsid w:val="00E864C7"/>
    <w:rsid w:val="00E867AD"/>
    <w:rsid w:val="00EA20BE"/>
    <w:rsid w:val="00EF2784"/>
    <w:rsid w:val="00F030FF"/>
    <w:rsid w:val="00F32C11"/>
    <w:rsid w:val="00F35BA6"/>
    <w:rsid w:val="00F400B5"/>
    <w:rsid w:val="00FC31EE"/>
    <w:rsid w:val="00FF36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196D"/>
  <w15:chartTrackingRefBased/>
  <w15:docId w15:val="{B6724627-13BB-48BD-AF4D-8D78CF45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C0"/>
    <w:pPr>
      <w:ind w:left="720"/>
      <w:contextualSpacing/>
    </w:pPr>
  </w:style>
  <w:style w:type="paragraph" w:styleId="NormalWeb">
    <w:name w:val="Normal (Web)"/>
    <w:basedOn w:val="Normal"/>
    <w:uiPriority w:val="99"/>
    <w:semiHidden/>
    <w:unhideWhenUsed/>
    <w:rsid w:val="00DE79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50406">
      <w:bodyDiv w:val="1"/>
      <w:marLeft w:val="0"/>
      <w:marRight w:val="0"/>
      <w:marTop w:val="0"/>
      <w:marBottom w:val="0"/>
      <w:divBdr>
        <w:top w:val="none" w:sz="0" w:space="0" w:color="auto"/>
        <w:left w:val="none" w:sz="0" w:space="0" w:color="auto"/>
        <w:bottom w:val="none" w:sz="0" w:space="0" w:color="auto"/>
        <w:right w:val="none" w:sz="0" w:space="0" w:color="auto"/>
      </w:divBdr>
    </w:div>
    <w:div w:id="674066868">
      <w:bodyDiv w:val="1"/>
      <w:marLeft w:val="0"/>
      <w:marRight w:val="0"/>
      <w:marTop w:val="0"/>
      <w:marBottom w:val="0"/>
      <w:divBdr>
        <w:top w:val="none" w:sz="0" w:space="0" w:color="auto"/>
        <w:left w:val="none" w:sz="0" w:space="0" w:color="auto"/>
        <w:bottom w:val="none" w:sz="0" w:space="0" w:color="auto"/>
        <w:right w:val="none" w:sz="0" w:space="0" w:color="auto"/>
      </w:divBdr>
      <w:divsChild>
        <w:div w:id="1833259572">
          <w:marLeft w:val="1080"/>
          <w:marRight w:val="0"/>
          <w:marTop w:val="100"/>
          <w:marBottom w:val="0"/>
          <w:divBdr>
            <w:top w:val="none" w:sz="0" w:space="0" w:color="auto"/>
            <w:left w:val="none" w:sz="0" w:space="0" w:color="auto"/>
            <w:bottom w:val="none" w:sz="0" w:space="0" w:color="auto"/>
            <w:right w:val="none" w:sz="0" w:space="0" w:color="auto"/>
          </w:divBdr>
        </w:div>
      </w:divsChild>
    </w:div>
    <w:div w:id="867183763">
      <w:bodyDiv w:val="1"/>
      <w:marLeft w:val="0"/>
      <w:marRight w:val="0"/>
      <w:marTop w:val="0"/>
      <w:marBottom w:val="0"/>
      <w:divBdr>
        <w:top w:val="none" w:sz="0" w:space="0" w:color="auto"/>
        <w:left w:val="none" w:sz="0" w:space="0" w:color="auto"/>
        <w:bottom w:val="none" w:sz="0" w:space="0" w:color="auto"/>
        <w:right w:val="none" w:sz="0" w:space="0" w:color="auto"/>
      </w:divBdr>
    </w:div>
    <w:div w:id="1927961485">
      <w:bodyDiv w:val="1"/>
      <w:marLeft w:val="0"/>
      <w:marRight w:val="0"/>
      <w:marTop w:val="0"/>
      <w:marBottom w:val="0"/>
      <w:divBdr>
        <w:top w:val="none" w:sz="0" w:space="0" w:color="auto"/>
        <w:left w:val="none" w:sz="0" w:space="0" w:color="auto"/>
        <w:bottom w:val="none" w:sz="0" w:space="0" w:color="auto"/>
        <w:right w:val="none" w:sz="0" w:space="0" w:color="auto"/>
      </w:divBdr>
      <w:divsChild>
        <w:div w:id="127343642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Yulu</dc:creator>
  <cp:keywords/>
  <dc:description/>
  <cp:lastModifiedBy>Du, Yang</cp:lastModifiedBy>
  <cp:revision>140</cp:revision>
  <dcterms:created xsi:type="dcterms:W3CDTF">2018-11-13T13:38:00Z</dcterms:created>
  <dcterms:modified xsi:type="dcterms:W3CDTF">2018-11-13T14:30:00Z</dcterms:modified>
</cp:coreProperties>
</file>