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Báo cáo doanh thu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>
              <w:t>Doanh thu theo tháng</w:t>
            </w:r>
          </w:p>
        </w:tc>
      </w:tr>
      <w:tr>
        <w:tc>
          <w:tcPr>
            <w:tcW w:type="dxa" w:w="4320"/>
          </w:tcPr>
          <w:p>
            <w:r>
              <w:t>01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02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