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doanh thu 2026</w:t>
      </w:r>
    </w:p>
    <w:p>
      <w:pPr>
        <w:pStyle w:val="Heading2"/>
      </w:pPr>
      <w:r>
        <w:t>Tình hình quý 1</w:t>
      </w:r>
    </w:p>
    <w:p>
      <w:r>
        <w:t>Doanh thu quý 1 đạt 600 triệu, tăng 20% so với cùng kỳ.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>
              <w:t>Tháng</w:t>
            </w:r>
          </w:p>
        </w:tc>
        <w:tc>
          <w:tcPr>
            <w:tcW w:type="dxa" w:w="4320"/>
          </w:tcPr>
          <w:p>
            <w:r>
              <w:t>Doanh thu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iểu đồ cột doanh thu theo tháng: tháng 1 đạt 100, tháng 2 đạt 200" title="Biểu đồ doanh th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