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36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4128"/>
            <wp:docPr id="1" name="Picture 1" descr="Logo de Traza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zaap-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0B6B35"/>
          <w:sz w:val="20"/>
        </w:rPr>
        <w:t>TRAZAAP | ASEGURAMIENTO DE CALIDAD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064E2A"/>
          <w:sz w:val="54"/>
        </w:rPr>
        <w:t>Plan integral de pruebas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667085"/>
          <w:sz w:val="26"/>
        </w:rPr>
        <w:t>Validación funcional, blockchain y no funcional del sistema de trazabilidad alimentaria</w:t>
      </w:r>
    </w:p>
    <w:tbl>
      <w:tblPr>
        <w:tblW w:type="dxa" w:w="72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5100"/>
      </w:tblGrid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Documento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Plan de pruebas y matriz de casos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Versión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Fecha de corte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10/08/2026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Estado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Base para ejecución, evidencia y aceptación del equipo</w:t>
            </w:r>
          </w:p>
        </w:tc>
      </w:tr>
    </w:tbl>
    <w:p>
      <w:pPr>
        <w:spacing w:before="500" w:after="0"/>
        <w:jc w:val="center"/>
      </w:pPr>
      <w:r>
        <w:rPr>
          <w:rFonts w:ascii="Aptos" w:hAnsi="Aptos"/>
          <w:b w:val="0"/>
          <w:i/>
          <w:color w:val="667085"/>
          <w:sz w:val="18"/>
        </w:rPr>
        <w:t>Documento de trabajo compartible. Los estados reflejan evidencia verificable disponible, no recuerdos de pruebas informales.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</w:pPr>
      <w:r>
        <w:rPr>
          <w:rFonts w:ascii="Aptos" w:hAnsi="Aptos"/>
          <w:b w:val="0"/>
          <w:i w:val="0"/>
          <w:color w:val="17211B"/>
          <w:sz w:val="20"/>
        </w:rPr>
        <w:t>Este plan define 101 casos necesarios para evaluar Trazaap de extremo a extremo. La matriz cubre requisitos funcionales, reglas de Hyperledger Fabric, seguridad, rendimiento, usabilidad, disponibilidad, cumplimiento e interoperabilidad.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4FA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B6B35"/>
                <w:sz w:val="21"/>
              </w:rPr>
              <w:t>Estado comprobable al 10/08/2026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17211B"/>
                <w:sz w:val="19"/>
              </w:rPr>
              <w:t>Se ejecutaron 23 pruebas automáticas: 13 del backend y 10 del chaincode, todas aprobadas. La compilación del frontend también fue exitosa, pero una compilación no reemplaza las pruebas funcionales de interfaz.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1000"/>
        <w:gridCol w:w="5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 documental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Casos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7"/>
              </w:rPr>
              <w:t>Aprobada automatizada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8"/>
              </w:rPr>
              <w:t>23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Existe prueba automática ejecutada y aprobada el 10/08/2026.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A56A00"/>
                <w:sz w:val="17"/>
              </w:rPr>
              <w:t>Pendiente de evidencia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8"/>
              </w:rPr>
              <w:t>54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La función existe; debe repetirse y adjuntar evidencia manual.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245B78"/>
                <w:sz w:val="17"/>
              </w:rPr>
              <w:t>Pendiente de ejecución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8"/>
              </w:rPr>
              <w:t>15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El caso puede ejecutarse, pero no hay resultado formal registrado.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A61B1B"/>
                <w:sz w:val="17"/>
              </w:rPr>
              <w:t>Pendiente de implementación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8"/>
              </w:rPr>
              <w:t>9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La función o parte exigida todavía no permite ejecutar el caso completo.</w:t>
            </w:r>
          </w:p>
        </w:tc>
      </w:tr>
    </w:tbl>
    <w:p/>
    <w:p>
      <w:pPr>
        <w:spacing w:after="120"/>
      </w:pPr>
      <w:r>
        <w:rPr>
          <w:rFonts w:ascii="Aptos" w:hAnsi="Aptos"/>
          <w:b w:val="0"/>
          <w:i w:val="0"/>
          <w:color w:val="17211B"/>
          <w:sz w:val="20"/>
        </w:rPr>
        <w:t>El estado `Pendiente de evidencia` no significa necesariamente que la función nunca se haya usado. Indica que debe repetirse de forma controlada y adjuntarse una evidencia revisable. Esto permite aprovechar las pruebas manuales ya realizadas sin afirmar un cumplimiento que no pueda demostrarse.</w:t>
      </w:r>
    </w:p>
    <w:p>
      <w:pPr>
        <w:pStyle w:val="Heading1"/>
      </w:pPr>
      <w:r>
        <w:t>2. Alcance y criterios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Objetivo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Demostrar que Trazaap satisface sus requisitos funcionales y no funcionales sin perder integridad entre PostgreSQL, la API, el frontend y Hyperledger Fabric.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Alcance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Autenticación, RBAC, proveedores, materias primas, recepción, inspección, productos, órdenes, manufactura, liberación, inventarios, trazabilidad, QR, reportes, blockchain y atributos de calidad.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Entorno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Aplicación local con frontend Next.js, backend Node.js/Express, PostgreSQL y red Hyperledger Fabric desplegada en Docker.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Datos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Usuarios de cada rol, proveedores, materias primas, recetas, recepciones, órdenes, lotes producidos, liberaciones y casos deliberadamente inválidos.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Criterio de entrada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Servicios activos, migraciones aplicadas, usuarios y catálogos disponibles, red Fabric operativa y versión del código identificada.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Criterio de salida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Todos los casos aplicables ejecutados; fallos críticos cerrados; evidencias adjuntas; brechas pendientes aceptadas y documentadas.</w:t>
            </w:r>
          </w:p>
        </w:tc>
      </w:tr>
    </w:tbl>
    <w:p/>
    <w:p>
      <w:pPr>
        <w:pStyle w:val="Heading2"/>
      </w:pPr>
      <w:r>
        <w:t>2.1 Niveles de prueba</w:t>
      </w:r>
    </w:p>
    <w:p>
      <w:pPr>
        <w:spacing w:after="120"/>
      </w:pPr>
      <w:r>
        <w:rPr>
          <w:rFonts w:ascii="Aptos" w:hAnsi="Aptos"/>
          <w:b w:val="0"/>
          <w:i w:val="0"/>
          <w:color w:val="17211B"/>
          <w:sz w:val="20"/>
        </w:rPr>
        <w:t>Las pruebas unitarias comprueban reglas aisladas; las de integración verifican API, PostgreSQL y Fabric; las pruebas de sistema recorren la interfaz completa; las no funcionales miden atributos de calidad; y la aceptación confirma que el flujo representa la operación real de Angela's Bagels.</w:t>
      </w:r>
    </w:p>
    <w:p>
      <w:pPr>
        <w:pStyle w:val="Heading2"/>
      </w:pPr>
      <w:r>
        <w:t>2.2 Regla para declarar una prueba aprobada</w:t>
      </w:r>
    </w:p>
    <w:p>
      <w:pPr>
        <w:spacing w:after="120"/>
      </w:pPr>
      <w:r>
        <w:rPr>
          <w:rFonts w:ascii="Aptos" w:hAnsi="Aptos"/>
          <w:b w:val="0"/>
          <w:i w:val="0"/>
          <w:color w:val="17211B"/>
          <w:sz w:val="20"/>
        </w:rPr>
        <w:t>El resultado observado debe coincidir con el esperado, no debe dejar efectos laterales incorrectos y debe existir una evidencia vinculada al ID del caso. Cuando una prueba falla, su corrección exige una re-prueba y una regresión de los módulos relacionados.</w:t>
      </w:r>
    </w:p>
    <w:p>
      <w:pPr>
        <w:pStyle w:val="Heading1"/>
      </w:pPr>
      <w:r>
        <w:t>3. Procedimiento de ejecución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Acción requerida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7"/>
              </w:rPr>
              <w:t>Preparar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Registrar versión/commit, fecha, navegador, usuario, datos de entrada y estado de los contenedores.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7"/>
              </w:rPr>
              <w:t>Ejecutar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Seguir el escenario, probar el caso válido y las variaciones inválidas indicadas, sin corregir datos durante la misma evidencia.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7"/>
              </w:rPr>
              <w:t>Comparar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Contrastar el resultado observado con el esperado en frontend, respuesta HTTP, PostgreSQL y Fabric cuando aplique.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7"/>
              </w:rPr>
              <w:t>Evidenciar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Adjuntar captura, respuesta de API, consulta SQL o transacción Fabric. La evidencia debe mostrar lote, fecha y resultado.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7"/>
              </w:rPr>
              <w:t>Clasificar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Marcar Aprobada, Fallida, Bloqueada o No aplica. Toda falla debe enlazar un incidente y su posterior re-prueba.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7"/>
              </w:rPr>
              <w:t>Cerrar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7"/>
              </w:rPr>
              <w:t>Realizar regresión del flujo afectado y obtener aceptación del responsable funcional o director del proyecto.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B78"/>
                <w:sz w:val="21"/>
              </w:rPr>
              <w:t>Importante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17211B"/>
                <w:sz w:val="19"/>
              </w:rPr>
              <w:t>Antes de ejecutar casos blockchain se debe comprobar que CA, orderer, ambos peers, canal y chaincode estén activos. Una respuesta pendiente o no encontrada puede deberse a infraestructura apagada y no necesariamente a una falla del formulario.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1080" w:right="1181" w:bottom="1037" w:left="1181" w:header="504" w:footer="504" w:gutter="0"/>
          <w:cols w:space="720"/>
          <w:titlePg/>
          <w:docGrid w:linePitch="360"/>
        </w:sectPr>
      </w:pPr>
    </w:p>
    <w:p>
      <w:pPr>
        <w:pStyle w:val="Heading1"/>
      </w:pPr>
      <w:r>
        <w:t>4. Matriz de pruebas funcionales</w:t>
      </w:r>
    </w:p>
    <w:p>
      <w:pPr>
        <w:spacing w:after="160"/>
      </w:pPr>
      <w:r>
        <w:rPr>
          <w:rFonts w:ascii="Aptos" w:hAnsi="Aptos"/>
          <w:b w:val="0"/>
          <w:i w:val="0"/>
          <w:color w:val="667085"/>
          <w:sz w:val="19"/>
        </w:rPr>
        <w:t>Los casos PF recorren la operación completa desde el acceso hasta reportes y módulos normativos pendientes. Cada fila agrupa las variaciones válidas y negativas esenciales del escenario.</w:t>
      </w:r>
    </w:p>
    <w:tbl>
      <w:tblPr>
        <w:tblStyle w:val="TableGrid"/>
        <w:tblW w:type="dxa" w:w="1392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750"/>
        <w:gridCol w:w="2700"/>
        <w:gridCol w:w="3100"/>
        <w:gridCol w:w="4250"/>
        <w:gridCol w:w="247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Req.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Caso y ejecución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Justificación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Inicio de sesión válido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usuario activo entra con su perfil y llega al panel autorizado.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Confirma que la identidad se valida antes de exponer información operativa.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Credenciales incorrectas o usuario inactivo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API rechaza el acceso sin revelar si falló el correo, la contraseña o el estado de la cuenta.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accesos indebidos y reduce la enumeración de usuarios.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 / RNF01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Credenciales fuera de la URL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Correo y contraseña viajan en el cuerpo POST y no aparecen en historial, parámetros ni enlaces.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Las credenciales visibles en la URL pueden quedar en historial, logs y capturas.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Cierre manual y expiración por inactividad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Cerrar sesión elimina la sesión; tras dos horas sin actividad se exige autenticarse nuevamente.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Limita el uso de una sesión abandonada en equipos compartidos de planta.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Administrador en ruta restringida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middleware permite la operación administrativa.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Demuestra que el rol con mayor autoridad conserva las funciones de gestión.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backend/test/rbac.middleware.test.js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Rol expresamente autorizado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ruta permite al rol declarado en su política.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Verifica que la autorización depende de una regla explícita y no solo de estar autenticado.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backend/test/rbac.middleware.test.js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Rol sin permiso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API responde 403 y no ejecuta cambios.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frontend puede ocultar botones, pero la protección real debe existir en el backend.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backend/test/rbac.middleware.test.js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Rol inválido o desconocido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API responde 403 y no asigna permisos por defecto.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Impide que errores de configuración se conviertan en privilegios involuntarios.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backend/test/rbac.middleware.test.js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PF-009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RF10-RF12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Códigos externos estables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mismo lote y contexto producen códigos consistentes para cliente y auditoría.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enlace de verificación debe seguir funcionando después de generarse o imprimirse.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backend/test/codigos-acceso.test.js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RF10-RF12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Normalización de código externo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Variaciones permitidas de escritura se comparan sin perder seguridad.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Reduce falsos rechazos al transcribir un código desde una factura o etiqueta.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backend/test/codigos-acceso.test.js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 / RNF01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Token ausente, vencido o alterado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API responde 401 y no retorna ni modifica datos.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Comprueba que un token inválido no sea tratado como una sesión válida.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Gestión de usuarios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administrador crea, consulta, actualiza, cambia rol y desactiva cuentas sin duplicar correos.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permisos dependen de cuentas correctamente administradas durante todo su ciclo de vida.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Crear proveedor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 guardan razón social, NIT, contacto, teléfono, correo, dirección y certificaciones.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trazabilidad hacia atrás necesita identificar el origen comercial de cada insumo.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Actualizar, desactivar y evitar duplicados de proveedor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cambios válidos persisten; NIT duplicado o proveedor inactivo se controla según la regla definida.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inconsistencias en recepciones y conserva el historial sin borrar proveedores usados.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 / RF17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Crear y actualizar materia prima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materia prima conserva nombre, descripción, tipo, unidad base y almacenamiento.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receta, el inventario y la recepción comparten este catálogo maestro.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Presentaciones y unidades de materia prima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Las presentaciones se registran con cantidades válidas y se convierten a la unidad base correcta.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 error de unidad altera inventario, receta y consumo de producción.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Relación proveedor-materia prima y certificaciones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asociación se consulta desde recepciones y trazabilidad sin perder la ficha del proveedor.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Permite demostrar procedencia y condición sanitaria del suministro.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 / RF17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Catálogos activos en formularios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formularios muestran únicamente opciones utilizables y conservan referencias históricas inactivas.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seleccionar registros deshabilitados sin destruir la trazabilidad existente.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PF-019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Registrar recepción válida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recepción queda vinculada con proveedor, materia prima, lotes, cantidades, fechas y responsable.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Es el punto inicial de la trazabilidad y debe capturar qué llegó, de quién y cuándo.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 / RNF06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Validaciones negativas de recepción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Campos obligatorios vacíos, cantidades no positivas y fechas incoherentes se rechazan dentro del formulario.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Previene que datos incompletos lleguen a inventario y blockchain.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Ingreso de recepción al inventario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recepción aceptada aumenta exactamente el stock de la materia prima en su unidad base.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inventario debe representar la disponibilidad física derivada de recepciones reales.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Movimiento de inventario por recepción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 registra tipo, cantidad, unidad, referencia, proveedor, responsable y fecha.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saldo por sí solo no explica su origen; el movimiento permite auditarlo.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RF01-B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Inspección organoléptica y de empaque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Olor, color, textura, empaque, certificado y observaciones quedan ligados a la recepción.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Documenta la evaluación sanitaria que sustenta la aceptación del insumo.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RF01-B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Inspección de transporte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Condiciones del vehículo e higiene del conductor se registran como cumple/no cumple.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Las condiciones de transporte pueden afectar la inocuidad antes del ingreso a planta.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RF01-B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Decisión de aceptación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inspección conforme deja la recepción disponible y registra la decisión y responsable.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materia prima no debe utilizarse sin una decisión explícita de recepción.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RF01-B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Decisión de rechazo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rechazo conserva la evidencia y evita tratar el insumo como disponible.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Impide consumir materia prima no conforme y conserva el soporte de la decisión.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RF01-B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Inspección única por recepción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sistema evita duplicar la inspección o aplica una regla de corrección controlada.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Dos decisiones finales sobre la misma recepción generan ambigüedad operativa.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Configurar producto y estándares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 guardan categoría, vida útil, almacenamiento, tiempos y temperaturas esperadas.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estándares permiten comparar la planeación con lo ocurrido en manufactura.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PF-029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Variantes mínimas y eliminación de adicionales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Existe al menos una presentación; las adicionales pueden quitarse con la X.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productos sin presentación y corrige adiciones accidentales antes de guardar.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 / RNF06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Cancelar y reiniciar formularios de producto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Al cancelar se borran los valores y al reabrir aparece una única variante vacía.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Datos residuales pueden crear productos o recetas equivocados.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Receta dependiente de tamaño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Cada variante conserva sus materias primas y cantidades por unidad.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presentación grande y una pequeña no deben descontar la misma cantidad de insumos.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 / RF07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Inmersión exclusiva para bagels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campos de inmersión aparecen y se validan en bagels; en otros panes no se exigen.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captura debe representar el proceso real y evitar controles irrelevantes.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Conversión y edición de receta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receta editada mantiene unidades compatibles y recalcula necesidades sin duplicar ingredientes.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Protege el cálculo de abastecimiento frente a cambios de producto.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Crear orden con un producto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orden se crea sin responsable individual, con fecha, producto, variante y cantidad programada.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orden planifica el trabajo colectivo y no debe confundirse con la ejecución real.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 / RNF06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Agregar y retirar productos de la orden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productos adicionales pueden eliminarse; cancelar limpia todo y deja una fila vacía.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Permite corregir errores de digitación sin abandonar o dañar la orden.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Cálculo automático de insumos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Cantidad por unidad multiplicada por cantidad programada produce el total correcto por materia prima.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cálculo evita planeación manual inconsistente y anticipa necesidades de inventario.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Inventario insuficiente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orden informa el faltante y aplica la regla definida sin confundir referencias estándar con insumos.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No se debe iniciar una producción que físicamente no puede abastecerse.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Persistencia y consulta de orden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orden nueva aparece en el listado y en orden activa con productos y materias correctos.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Confirma que la transacción completa se guardó y puede continuar su flujo.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PF-039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Transiciones de estado de orden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Solo se permiten cambios coherentes entre pendiente, en proceso, lista para liberación y finalizada.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estados controlan qué acciones posteriores son válidas.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Manufactura asociada a una orden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No se registra manufactura sin orden y producto programado existentes.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Mantiene la relación entre lo planeado y lo realmente producido.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 / RF12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Responsable de manufactura operario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selector muestra usuarios activos con rol operario y guarda su nombre como responsable.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responsabilidad debe corresponder a una cuenta identificable y autorizada.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 / RF07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Valores reales frente a estándares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Tiempos y temperaturas reales se guardan y las desviaciones generan advertencia sin bloquear.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Permite detectar variaciones del proceso y conservar la realidad operativa.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Campos reales de inmersión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Son obligatorios solo cuando el producto requiere inmersión.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registros incompletos de bagels y datos ficticios en otros productos.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Validar lote, unidades y horario de manufactura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Lote no vacío, unidades positivas y hora fin posterior a hora inicio.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Impide eventos productivos imposibles o imposibles de rastrear.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 / RNF06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Confirmación y cierre de manufactura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Al guardar correctamente se cierra el modal y aparece una confirmación visible; el doble envío queda bloqueado.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operario debe saber inequívocamente si el registro fue aceptado.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Finalización automática de orden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Cuando se completan las manufacturas programadas la orden pasa a finalizada.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ejecución completa debe reflejarse sin depender de una acción manual redundante.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Consumo real de materias primas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Manufactura descuenta cantidades reales, selecciona lotes disponibles y genera movimientos auditables.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Relaciona físicamente las materias primas de origen con el lote terminado.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Productos pendientes de liberación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Solo manufacturas registradas y no liberadas aparecen como pendientes.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liberar un producto inexistente o procesarlo dos veces.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PF-049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 / RF08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Validaciones obligatorias de liberación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Etiqueta y envase deben marcarse; los errores aparecen dentro del modal.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salida requiere evidencia de que el producto terminado fue revisado.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Liberación aprobada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Crea inventario terminado con lote, unidades, vencimiento y estado disponible.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Solo el producto aprobado puede quedar disponible para salida.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 / RF08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Liberación retenida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Exige motivo y no habilita el producto como disponible.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retención separa temporalmente un producto que requiere decisión posterior.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 / RF08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Liberación rechazada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Exige motivo, conserva el evento y bloquea la salida.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 producto no conforme no puede mezclarse con inventario liberado.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Evitar doble liberación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manufactura o lote ya liberado no puede liberarse nuevamente.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Previene duplicar inventario terminado y decisiones contradictorias.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 / RF05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Responsable, factura y transporte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 guardan operario, número de factura, conductor, placa, limpieza y documentación.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Estos datos identifican quién autorizó y bajo qué condiciones salió el producto.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Cantidades y vencimiento de liberación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Unidades positivas, no superiores a las producidas, peso válido y vencimiento posterior.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liberar cantidades inexistentes o productos vencidos.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RF03-A / RNF06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Confirmación y cierre de liberación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Durante el guardado se muestra progreso; al éxito se cierra el modal y queda una confirmación visible.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Reduce dobles envíos y elimina la incertidumbre del usuario.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RF05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Salida y descuento de producto terminado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salida reduce exactamente el lote liberado y conserva factura, conductor y movimiento.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inventario final debe coincidir con las unidades que permanecen en planta.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Consulta por lote final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sistema reconstruye recepción, inspección, orden, manufactura, liberación e inventario relacionados.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lote producido es el identificador que acompaña al alimento hacia el cliente.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PF-059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Trazabilidad hacia atrás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Desde el producto se identifican materias primas, lotes recibidos y proveedores.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Permite localizar el origen ante una no conformidad o retiro.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RF05-RF06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Trazabilidad hacia adelante hasta cliente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Desde una materia prima se obtienen lotes producidos, salidas y clientes receptores.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Es necesaria para informar a todos los afectados por un insumo comprometido.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RF06 / 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Estados de validación en trazabilidad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Cada evento muestra verificado, alterado, no encontrado o pendiente según Fabric.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Diferencia la existencia del dato operativo de su evidencia criptográfica.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RF10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QR único y acceso público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QR abre el lote correcto sin autenticación y conserva legibilidad al imprimir.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Vincula el producto físico con su historial digital.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RF11 / RNF07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Privacidad del portal público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consumidor ve procedencia y proceso sin datos internos sensibles; el auditor recibe información autorizada adicional.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Cumple transparencia sin exponer información comercial o personal.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RF14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Reporte PDF de trazabilidad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PDF contiene eventos, responsables, validación Fabric y QR sin cortes ni solapamientos.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Es la evidencia compartible para auditoría y consulta fuera de la aplicación.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color w:val="A56A00"/>
              </w:rPr>
            </w:r>
            <w:r>
              <w:rPr>
                <w:rFonts w:ascii="Aptos" w:hAnsi="Aptos"/>
                <w:b w:val="0"/>
                <w:i w:val="0"/>
                <w:color w:val="A56A00"/>
                <w:sz w:val="16"/>
              </w:rPr>
              <w:t>Pendiente de evidencia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RF14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Reporte Excel y consulta de hasta 50 lotes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 genera un archivo estructurado dentro del tiempo requerido y con estados blockchain.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requisito exige análisis masivo y exportación reutilizable, no solo impresión individual.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RF04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Condiciones de almacenamiento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Registrar ubicación, temperatura, ingreso, salida y refrigeración por lote.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trazabilidad incluye la etapa entre producción y distribución.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Puntos críticos HACCP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Registrar variable, rango, medición, desviación, alerta y decisión vinculada al lote.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Los puntos críticos demuestran control preventivo del proceso.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RF08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Controles de calidad e inocuidad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Registrar resultados físicos, químicos, microbiológicos y organolépticos con decisión final.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liberación debe estar sustentada por controles de calidad trazables.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PF-069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RF15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Plan de saneamiento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Registrar limpieza, desinfección, plagas, residuos, cronograma, responsable y resultado.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Resolución 2674 exige evidencia recuperable de las prácticas de saneamiento.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PF-070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Devoluciones y lotes no conformes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Relacionar lote, cliente, motivo, decisión, responsable y destino del producto.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Completa la trazabilidad posterior a la entrega y el manejo de incidentes.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PF-071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Documentos de proveedor en almacenamiento de objetos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Adjuntar certificado o ficha, recuperar el archivo y verificar su referencia o huella.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Las evidencias documentales no deben quedar dispersas ni sobrecargar PostgreSQL/Fabric.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</w:tbl>
    <w:p/>
    <w:p>
      <w:r>
        <w:br w:type="page"/>
      </w:r>
    </w:p>
    <w:p>
      <w:pPr>
        <w:pStyle w:val="Heading1"/>
      </w:pPr>
      <w:r>
        <w:t>4.1 Matriz de blockchain e integración</w:t>
      </w:r>
    </w:p>
    <w:p>
      <w:pPr>
        <w:spacing w:after="160"/>
      </w:pPr>
      <w:r>
        <w:rPr>
          <w:rFonts w:ascii="Aptos" w:hAnsi="Aptos"/>
          <w:b w:val="0"/>
          <w:i w:val="0"/>
          <w:color w:val="667085"/>
          <w:sz w:val="19"/>
        </w:rPr>
        <w:t>Los casos BC corresponden a pruebas automáticas ejecutadas sobre normalización, consistencia transaccional y chaincode. Todas se aprobaron en la fecha de corte.</w:t>
      </w:r>
    </w:p>
    <w:tbl>
      <w:tblPr>
        <w:tblStyle w:val="TableGrid"/>
        <w:tblW w:type="dxa" w:w="1392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750"/>
        <w:gridCol w:w="2700"/>
        <w:gridCol w:w="3100"/>
        <w:gridCol w:w="4250"/>
        <w:gridCol w:w="2470"/>
      </w:tblGrid>
      <w:t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Req.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Caso y ejecución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Justificación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Hash estable ante distinto orden de claves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Dos objetos funcionalmente iguales producen el mismo SHA-256.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validación no debe depender del orden accidental de serialización.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backend/test/trazabilidad.hash.test.js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RF01-A / 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Payload estable de recepción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normalización incluye datos funcionales y excluye metadatos técnicos.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hash debe representar el evento de recepción y poder recalcularse.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backend/test/trazabilidad.hash.test.js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RF01-B / 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Payload estable de inspección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Incluye decisión, vehículo y conductor con estructura determinista.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modificación de la inspección debe detectarse sin falsos cambios técnicos.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backend/test/trazabilidad.hash.test.js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Fabric no disponible durante despacho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API responde 503 y no escribe el despacho.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afirmar una salida validada cuando la regla crítica no pudo ejecutarse.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backend/test/rf13-chaincode-backend.test.js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Despacho bloqueado sin efectos operativos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No descuenta inventario ni crea liberación.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regla inteligente debe ser atómica con la operación que controla.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backend/test/rf13-chaincode-backend.test.js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Error de registro revierte transacción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PostgreSQL vuelve al estado anterior cuando falla el registro crítico.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Previene divergencia entre el estado operativo y la evidencia blockchain.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backend/test/rf13-chaincode-backend.test.js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RF11 / 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Confirmación pública con credenciales válidas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Solo un código externo válido envía la confirmación a Fabric.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portal público no debe aceptar confirmaciones anónimas o falsificadas.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backend/test/rf13-chaincode-backend.test.js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Registrar evento nuevo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chaincode guarda evento, actor Fabric, lote, payload, hash y timestamp.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Demuestra la creación real de evidencia inmutable en el ledger.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BC-009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Rechazar sobrescritura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clave existente no se reemplaza silenciosamente.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inmutabilidad lógica exige impedir que el último valor borre la evidencia anterior.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</w:tbl>
    <w:p/>
    <w:p>
      <w:r>
        <w:br w:type="page"/>
      </w:r>
    </w:p>
    <w:p>
      <w:pPr>
        <w:pStyle w:val="Heading1"/>
      </w:pPr>
      <w:r>
        <w:t>4.1 Matriz de blockchain e integración (continuación)</w:t>
      </w:r>
    </w:p>
    <w:p>
      <w:pPr>
        <w:spacing w:after="160"/>
      </w:pPr>
      <w:r>
        <w:rPr>
          <w:rFonts w:ascii="Aptos" w:hAnsi="Aptos"/>
          <w:b w:val="0"/>
          <w:i w:val="0"/>
          <w:color w:val="667085"/>
          <w:sz w:val="19"/>
        </w:rPr>
        <w:t>Continuación de la matriz. Se repiten los encabezados para conservar el contexto de lectura y ejecución.</w:t>
      </w:r>
    </w:p>
    <w:tbl>
      <w:tblPr>
        <w:tblStyle w:val="TableGrid"/>
        <w:tblW w:type="dxa" w:w="1392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750"/>
        <w:gridCol w:w="2700"/>
        <w:gridCol w:w="3100"/>
        <w:gridCol w:w="4250"/>
        <w:gridCol w:w="2470"/>
      </w:tblGrid>
      <w:t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Req.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Caso y ejecución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Justificación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RF06 / 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Detectar registro alterado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hash recalculado distinto retorna ALTERADO.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Es la prueba central de integridad prometida por la arquitectura.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Corrección sin modificar original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corrección crea una nueva evidencia y conserva el evento previo.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Corregir datos no debe destruir el historial de auditoría.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RF05 / 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Confirmar recepción por cliente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 despacho aprobado recibe una confirmación autenticada.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Cierra la trazabilidad hacia adelante con evidencia del receptor.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Impedir doble confirmación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segunda confirmación del mismo despacho se rechaza.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Evita estados contradictorios y transacciones redundantes.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RF05 / 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Despacho conforme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Las reglas aceptan y registran un despacho dentro de parámetros.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Demuestra que el contrato no solo bloquea, también habilita operaciones válidas.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RF07 / 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Bloqueo por control crítico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variable fuera de rango impide el despacho y retorna motivos.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Automatiza un control preventivo que no debe depender solo de revisión humana.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Bloqueo de lote vencido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chaincode rechaza la salida cuando la fecha de vencimiento fue superada.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Impide entregar producto que ya no es apto según su vida útil registrada.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BC-017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RF13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Alerta única por vencimiento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 registra una alerta por lote sin duplicarla en consultas repetidas.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idempotencia evita ruido operativo y múltiples evidencias para el mismo hecho.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>
              <w:rPr>
                <w:color w:val="064E2A"/>
              </w:rPr>
            </w:r>
            <w:r>
              <w:rPr>
                <w:rFonts w:ascii="Aptos" w:hAnsi="Aptos"/>
                <w:b w:val="0"/>
                <w:i w:val="0"/>
                <w:color w:val="064E2A"/>
                <w:sz w:val="16"/>
              </w:rPr>
              <w:t>Aprobada automatizada</w:t>
              <w:br/>
              <w:t>fabric/chaincode/traceability/test/traceability.test.js</w:t>
            </w:r>
          </w:p>
        </w:tc>
      </w:tr>
    </w:tbl>
    <w:p/>
    <w:p>
      <w:r>
        <w:br w:type="page"/>
      </w:r>
    </w:p>
    <w:p>
      <w:pPr>
        <w:pStyle w:val="Heading1"/>
      </w:pPr>
      <w:r>
        <w:t>5. Matriz de pruebas no funcionales</w:t>
      </w:r>
    </w:p>
    <w:p>
      <w:pPr>
        <w:spacing w:after="160"/>
      </w:pPr>
      <w:r>
        <w:rPr>
          <w:rFonts w:ascii="Aptos" w:hAnsi="Aptos"/>
          <w:b w:val="0"/>
          <w:i w:val="0"/>
          <w:color w:val="667085"/>
          <w:sz w:val="19"/>
        </w:rPr>
        <w:t>Estas pruebas requieren un entorno estable, herramientas de medición y evidencia cuantitativa. No deben marcarse como cumplidas a partir de una demostración visual.</w:t>
      </w:r>
    </w:p>
    <w:tbl>
      <w:tblPr>
        <w:tblStyle w:val="TableGrid"/>
        <w:tblW w:type="dxa" w:w="1392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750"/>
        <w:gridCol w:w="2700"/>
        <w:gridCol w:w="3100"/>
        <w:gridCol w:w="4250"/>
        <w:gridCol w:w="2470"/>
      </w:tblGrid>
      <w:t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Req.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Caso y ejecución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Justificación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RNF01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Seguridad e integridad integral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SQL injection, XSS, escalamiento de rol y manipulación de JWT no comprometen datos ni permisos.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integridad blockchain no reemplaza la seguridad de aplicación y base de datos.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Disponibilidad mensual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Monitoreo demuestra al menos 99 % fuera de mantenimientos notificados.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porcentaje requiere evidencia temporal; no puede concluirse con una demostración local.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Secuencia temporal verificable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Fechas operativas y timestamps Fabric reconstruyen el orden exacto de cada lote.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Las auditorías deben demostrar que los controles ocurrieron en el momento correcto.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PNF-004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RNF04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Matriz Resolución 2674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Cada campo normativo se relaciona con formulario, tabla, endpoint, RF y evidencia de prueba.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Permite sustentar cumplimiento sin depender de afirmaciones generales.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PNF-005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RNF05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Tiempo de consulta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Trazabilidad y operaciones habituales responden en menos de tres segundos bajo carga normal.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Una consulta lenta limita la reacción ante auditoría o retiro de producto.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PNF-006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RNF05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Tiempo de confirmación blockchain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 evento se confirma o informa su fallo en máximo diez segundos.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El operario necesita retroalimentación rápida para no repetir registros.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PNF-007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Usabilidad controlada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Un operario sin capacitación previa completa manufactura en menos de tres minutos y entiende los errores.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adopción depende de usuarios con alfabetización digital básica.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</w:tbl>
    <w:p/>
    <w:p>
      <w:r>
        <w:br w:type="page"/>
      </w:r>
    </w:p>
    <w:p>
      <w:pPr>
        <w:pStyle w:val="Heading1"/>
      </w:pPr>
      <w:r>
        <w:t>5. Matriz de pruebas no funcionales (continuación)</w:t>
      </w:r>
    </w:p>
    <w:p>
      <w:pPr>
        <w:spacing w:after="160"/>
      </w:pPr>
      <w:r>
        <w:rPr>
          <w:rFonts w:ascii="Aptos" w:hAnsi="Aptos"/>
          <w:b w:val="0"/>
          <w:i w:val="0"/>
          <w:color w:val="667085"/>
          <w:sz w:val="19"/>
        </w:rPr>
        <w:t>Continuación de la matriz. Se repiten los encabezados para conservar el contexto de lectura y ejecución.</w:t>
      </w:r>
    </w:p>
    <w:tbl>
      <w:tblPr>
        <w:tblStyle w:val="TableGrid"/>
        <w:tblW w:type="dxa" w:w="1392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750"/>
        <w:gridCol w:w="2700"/>
        <w:gridCol w:w="3100"/>
        <w:gridCol w:w="4250"/>
        <w:gridCol w:w="2470"/>
      </w:tblGrid>
      <w:t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Req.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Caso y ejecución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Justificación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PNF-008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Confidencialidad diferenciada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Consumidor, auditor y usuario interno reciben únicamente los campos autorizados.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transparencia pública no debe revelar condiciones comerciales o datos personales.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PNF-009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RNF08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Fallo de nodos y consenso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red mantiene o rechaza operaciones de forma predecible al caer un peer u orderer y recupera el estado.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tolerancia a fallos solo se demuestra provocando fallas reales en la topología.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PNF-010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Escalabilidad a diez veces el volumen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Con diez veces lotes y eventos se mantienen los límites de respuesta sin rediseño funcional.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Comprueba que el crecimiento no degrada la utilidad del sistema.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PNF-011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RNF10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Mantenibilidad y regresión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Builds, migraciones y pruebas pasan después de cambios; código, contratos y arquitectura están documentados.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Reduce el riesgo de que una corrección rompa módulos ya terminados.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PNF-012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RNF11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Interoperabilidad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API entrega JSON documentado y se valida la brecha frente a OAuth 2.0 y GS1 EPCIS 2.0.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Permite integrar inventario, logística, calidad y otros actores sin acoplamiento propietario.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DECEC"/>
          </w:tcPr>
          <w:p>
            <w:pPr>
              <w:spacing w:before="0" w:after="0" w:line="252" w:lineRule="auto"/>
              <w:jc w:val="left"/>
            </w:pPr>
            <w:r>
              <w:rPr>
                <w:color w:val="A61B1B"/>
              </w:rPr>
            </w:r>
            <w:r>
              <w:rPr>
                <w:rFonts w:ascii="Aptos" w:hAnsi="Aptos"/>
                <w:b w:val="0"/>
                <w:i w:val="0"/>
                <w:color w:val="A61B1B"/>
                <w:sz w:val="16"/>
              </w:rPr>
              <w:t>Pendiente de implementación</w:t>
              <w:br/>
              <w:t>Por adjuntar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11B"/>
                <w:sz w:val="16"/>
              </w:rPr>
              <w:t>PNF-013</w:t>
            </w:r>
          </w:p>
        </w:tc>
        <w:tc>
          <w:tcPr>
            <w:tcW w:type="dxa" w:w="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Transversal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Compatibilidad y accesibilidad</w:t>
            </w:r>
          </w:p>
        </w:tc>
        <w:tc>
          <w:tcPr>
            <w:tcW w:type="dxa" w:w="3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Flujos críticos funcionan en Chrome, Edge, Firefox y móvil, con teclado, etiquetas y contraste legibles.</w:t>
            </w:r>
          </w:p>
        </w:tc>
        <w:tc>
          <w:tcPr>
            <w:tcW w:type="dxa" w:w="4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6"/>
              </w:rPr>
              <w:t>La aplicación debe ser operable desde los dispositivos reales de planta y consulta pública.</w:t>
            </w:r>
          </w:p>
        </w:tc>
        <w:tc>
          <w:tcPr>
            <w:tcW w:type="dxa" w:w="2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before="0" w:after="0" w:line="252" w:lineRule="auto"/>
              <w:jc w:val="left"/>
            </w:pPr>
            <w:r>
              <w:rPr>
                <w:color w:val="245B78"/>
              </w:rPr>
            </w:r>
            <w:r>
              <w:rPr>
                <w:rFonts w:ascii="Aptos" w:hAnsi="Aptos"/>
                <w:b w:val="0"/>
                <w:i w:val="0"/>
                <w:color w:val="245B78"/>
                <w:sz w:val="16"/>
              </w:rPr>
              <w:t>Pendiente de ejecución</w:t>
              <w:br/>
              <w:t>Por adjuntar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45B78"/>
                <w:sz w:val="21"/>
              </w:rPr>
              <w:t>Condiciones para ejecutar pruebas no funcionales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17211B"/>
                <w:sz w:val="19"/>
              </w:rPr>
              <w:t>Registrar hardware, versiones, volumen inicial, número de usuarios concurrentes, duración, herramienta y percentiles. Las pruebas de disponibilidad y consenso requieren provocar fallas controladas y documentar la recuperación.</w:t>
            </w:r>
          </w:p>
        </w:tc>
      </w:tr>
    </w:tbl>
    <w:p>
      <w:pPr>
        <w:spacing w:after="20"/>
      </w:pPr>
    </w:p>
    <w:p>
      <w:pPr>
        <w:sectPr>
          <w:headerReference w:type="default" r:id="rId12"/>
          <w:footerReference w:type="default" r:id="rId13"/>
          <w:pgSz w:w="15840" w:h="12240" w:orient="landscape"/>
          <w:pgMar w:top="792" w:right="864" w:bottom="792" w:left="864" w:header="504" w:footer="504" w:gutter="0"/>
          <w:cols w:space="720"/>
          <w:docGrid w:linePitch="360"/>
        </w:sectPr>
      </w:pPr>
    </w:p>
    <w:p>
      <w:pPr>
        <w:pStyle w:val="Heading1"/>
      </w:pPr>
      <w:r>
        <w:t>6. Evidencias y cierre del plan</w:t>
      </w:r>
    </w:p>
    <w:p>
      <w:pPr>
        <w:spacing w:after="120"/>
      </w:pPr>
      <w:r>
        <w:rPr>
          <w:rFonts w:ascii="Aptos" w:hAnsi="Aptos"/>
          <w:b w:val="0"/>
          <w:i w:val="0"/>
          <w:color w:val="17211B"/>
          <w:sz w:val="20"/>
        </w:rPr>
        <w:t>Una prueba se considera terminada únicamente cuando su resultado puede ser revisado por otra persona. Las conversaciones, recuerdos o demostraciones sin registro sirven como exploración, pero no como evidencia formal de aceptación.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6B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Interfaz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Captura completa del formulario, mensaje de éxito/error, lote y fecha visibles.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API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Método, endpoint, código HTTP y cuerpo de respuesta sin credenciales sensibles.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PostgreSQL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Consulta que demuestre relaciones, movimientos, responsables y ausencia de duplicados.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Fabric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txId, función de chaincode, evento consultado, hash y estado de validación.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Rendimiento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Herramienta, número de usuarios, volumen, percentiles y condiciones del equipo.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Usabilidad</w:t>
            </w:r>
          </w:p>
        </w:tc>
        <w:tc>
          <w:tcPr>
            <w:tcW w:type="dxa" w:w="7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Participantes, tarea, tiempo, errores, observaciones y aceptación del usuario.</w:t>
            </w:r>
          </w:p>
        </w:tc>
      </w:tr>
    </w:tbl>
    <w:p/>
    <w:p>
      <w:pPr>
        <w:pStyle w:val="Heading2"/>
      </w:pPr>
      <w:r>
        <w:t>6.1 Registro de ejecución recomendado</w:t>
      </w:r>
    </w:p>
    <w:p>
      <w:pPr>
        <w:spacing w:after="120"/>
      </w:pPr>
      <w:r>
        <w:rPr>
          <w:rFonts w:ascii="Aptos" w:hAnsi="Aptos"/>
          <w:b w:val="0"/>
          <w:i w:val="0"/>
          <w:color w:val="17211B"/>
          <w:sz w:val="20"/>
        </w:rPr>
        <w:t>Para cada ID de la matriz se debe registrar: fecha, ejecutor, versión del sistema, datos usados, resultado observado, estado final, enlace a evidencia, incidente relacionado y fecha de re-prueba. Los estados del presente documento describen evidencia disponible, no sustituyen el resultado de una ejecución futura.</w:t>
      </w:r>
    </w:p>
    <w:p>
      <w:pPr>
        <w:pStyle w:val="Heading2"/>
      </w:pPr>
      <w:r>
        <w:t>6.2 Evidencia automatizada disponible</w:t>
      </w:r>
    </w:p>
    <w:p>
      <w:pPr>
        <w:spacing w:after="120"/>
      </w:pPr>
      <w:r>
        <w:rPr>
          <w:rFonts w:ascii="Aptos" w:hAnsi="Aptos"/>
          <w:b w:val="0"/>
          <w:i w:val="0"/>
          <w:color w:val="17211B"/>
          <w:sz w:val="20"/>
        </w:rPr>
        <w:t>El 10 de agosto de 2026 se ejecutaron 13 pruebas del backend y 10 del chaincode; las 23 finalizaron correctamente. Los comandos reproducibles son `npm.cmd test` en `backend` y en `fabric/chaincode/traceability`.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56A00"/>
                <w:sz w:val="21"/>
              </w:rPr>
              <w:t>Conclusión de auditoría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17211B"/>
                <w:sz w:val="19"/>
              </w:rPr>
              <w:t>Trazaap cuenta con pruebas automáticas reales para RBAC, códigos externos, normalización/hash y reglas RF13 del chaincode. Para afirmar que todas las pruebas fueron realizadas todavía se deben adjuntar evidencias de los flujos manuales, ejecutar los atributos no funcionales y completar los módulos marcados como pendientes de implementación.</w:t>
            </w:r>
          </w:p>
        </w:tc>
      </w:tr>
    </w:tbl>
    <w:p>
      <w:pPr>
        <w:spacing w:after="20"/>
      </w:pPr>
    </w:p>
    <w:p>
      <w:pPr>
        <w:pStyle w:val="Heading1"/>
      </w:pPr>
      <w:r>
        <w:t>7. Fuentes revisadas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Fuente 1</w:t>
            </w:r>
          </w:p>
        </w:tc>
        <w:tc>
          <w:tcPr>
            <w:tcW w:type="dxa" w:w="7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Requerimientos Funcionales y No Funcionales.pdf, versión disponible en el proyecto.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Fuente 2</w:t>
            </w:r>
          </w:p>
        </w:tc>
        <w:tc>
          <w:tcPr>
            <w:tcW w:type="dxa" w:w="7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backend/test/*.test.js: pruebas automatizadas del backend.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Fuente 3</w:t>
            </w:r>
          </w:p>
        </w:tc>
        <w:tc>
          <w:tcPr>
            <w:tcW w:type="dxa" w:w="7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fabric/chaincode/traceability/test/traceability.test.js: pruebas automatizadas del chaincode.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64E2A"/>
                <w:sz w:val="18"/>
              </w:rPr>
              <w:t>Fuente 4</w:t>
            </w:r>
          </w:p>
        </w:tc>
        <w:tc>
          <w:tcPr>
            <w:tcW w:type="dxa" w:w="7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11B"/>
                <w:sz w:val="18"/>
              </w:rPr>
              <w:t>Código actual de frontend, backend, migraciones y configuración Fabric de Trazaap.</w:t>
            </w:r>
          </w:p>
        </w:tc>
      </w:tr>
    </w:tbl>
    <w:sectPr w:rsidR="00FC693F" w:rsidRPr="0006063C" w:rsidSect="00034616">
      <w:headerReference w:type="default" r:id="rId14"/>
      <w:footerReference w:type="default" r:id="rId15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i w:val="0"/>
        <w:color w:val="667085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i w:val="0"/>
        <w:color w:val="667085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i w:val="0"/>
        <w:color w:val="667085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0B6B35"/>
        <w:sz w:val="16"/>
      </w:rPr>
      <w:t>PLAN DE PRUEBAS | TRAZAAP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0B6B35"/>
        <w:sz w:val="16"/>
      </w:rPr>
      <w:t>MATRIZ DE PRUEBAS | TRAZAAP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0B6B35"/>
        <w:sz w:val="16"/>
      </w:rPr>
      <w:t>PLAN DE PRUEBAS | TRAZAAP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21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6B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B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4E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integral de pruebas Trazaap</dc:title>
  <dc:subject>Matriz funcional, blockchain y no funcional</dc:subject>
  <dc:creator>Equipo de proyecto Trazaap</dc:creator>
  <cp:keywords>Trazaap, pruebas, trazabilidad, Hyperledger Fabric, calidad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