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40"/>
          <w:szCs w:val="40"/>
        </w:rPr>
        <w:t xml:space="preserve">AI Product Case Study</w:t>
      </w:r>
    </w:p>
    <w:p>
      <w:pPr>
        <w:spacing w:after="40"/>
      </w:pPr>
      <w:r>
        <w:rPr>
          <w:color w:val="555555"/>
          <w:sz w:val="28"/>
          <w:szCs w:val="28"/>
        </w:rPr>
        <w:t xml:space="preserve">Project 2 — AI-driven Customer Segmentation &amp; Cross-sell Targeting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Portfolio demo — Business Data Analyst (AI Products) | Prepared by Kevin Ngo</w:t>
      </w:r>
    </w:p>
    <w:p>
      <w:pPr>
        <w:pBdr>
          <w:bottom w:val="single" w:color="DDDDDD" w:sz="6" w:space="6"/>
        </w:pBdr>
        <w:spacing w:after="300"/>
      </w:pPr>
      <w:r>
        <w:rPr>
          <w:i/>
          <w:iCs/>
          <w:color w:val="888888"/>
          <w:sz w:val="20"/>
          <w:szCs w:val="20"/>
        </w:rPr>
        <w:t xml:space="preserve">Author: Kevin Ngo · </w:t>
      </w:r>
      <w:hyperlink w:history="1" r:id="rIdpzdcdrs-tiivahagmj8xr">
        <w:r>
          <w:rPr>
            <w:b/>
            <w:bCs/>
            <w:i/>
            <w:iCs/>
            <w:color w:val="1F2A44"/>
            <w:sz w:val="20"/>
            <w:szCs w:val="20"/>
            <w:u w:val="single"/>
          </w:rPr>
          <w:t xml:space="preserve">LinkedIn Profile</w:t>
        </w:r>
      </w:hyperlink>
    </w:p>
    <w:p>
      <w:pPr>
        <w:pStyle w:val="Heading1"/>
        <w:spacing w:after="150" w:before="300"/>
      </w:pPr>
      <w:r>
        <w:t xml:space="preserve">1. Business Context &amp; Problem Statement</w:t>
      </w:r>
    </w:p>
    <w:p>
      <w:pPr>
        <w:spacing w:after="120"/>
      </w:pPr>
      <w:r>
        <w:t xml:space="preserve">Marketing and relationship-banking teams run cross-sell campaigns (credit cards, loans, investment products) using broad demographic rules (age bracket, income tier) that don't capture actual behavior — how customers use the app, how much they hold in balances, or how deep their product relationship already is. This leads to generic offers sent to the wrong customers: wealthy but under-served customers get mass-market loan ads, while young digitally active customers who'd convert well on a credit card get nothing.</w:t>
      </w:r>
    </w:p>
    <w:p>
      <w:pPr>
        <w:spacing w:after="100"/>
      </w:pPr>
      <w:r>
        <w:rPr>
          <w:b/>
          <w:bCs/>
        </w:rPr>
        <w:t xml:space="preserve">Business objective: </w:t>
      </w:r>
      <w:r>
        <w:t xml:space="preserve">Group the existing customer base into behaviorally distinct segments so Marketing/RM teams can target each with a relevant next-best-product offer, improving cross-sell conversion and reducing irrelevant outreach (which also drives opt-outs and app churn).</w:t>
      </w:r>
    </w:p>
    <w:p>
      <w:pPr>
        <w:pStyle w:val="Heading1"/>
        <w:spacing w:after="150" w:before="300"/>
      </w:pPr>
      <w:r>
        <w:t xml:space="preserve">2. Analytical Hypothesis &amp;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Hypothesis: Customers cluster into distinguishable behavioral groups based on balance level, digital engagement, product depth, and tenure — and these clusters map to different, actionable cross-sell strategies better than static demographic segmentation.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 criteria (business): each identified segment must be (a) large enough to justify a dedicated campaign, (b) mapped to a specific product/offer, and (c) validated by Marketing/RM as a sensible customer group before use in campaign targeting.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 criteria (analytical): clusters should be behaviorally separable on the input features (not just noise) and stable enough to be re-usable for at least one full campaign cycle before re-segmentation.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 of scope for this MVP: individual-level propensity scoring per product — this AI solution informs segment-level targeting strategy; a follow-on propensity model would refine to individual offer sequencing.</w:t>
      </w:r>
    </w:p>
    <w:p>
      <w:pPr>
        <w:pStyle w:val="Heading1"/>
        <w:spacing w:after="150" w:before="300"/>
      </w:pPr>
      <w:r>
        <w:t xml:space="preserve">3. Data Requirements</w:t>
      </w:r>
    </w:p>
    <w:p>
      <w:pPr>
        <w:spacing w:after="120"/>
      </w:pPr>
      <w:r>
        <w:t xml:space="preserve">Data entities identified as necessary to build and validate the segmentation, mapped to a typical retail-banking data mart: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3400"/>
      </w:tblGrid>
      <w:tr>
        <w:tc>
          <w:tcPr>
            <w:tcW w:type="dxa" w:w="2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system (illustrative)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demographics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age, tenure with bank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Banking / CRM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balances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monthly balance across accounts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Banking (deposit ledger)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Digital engagement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app activity score, login frequency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Digital banking platform logs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 behavior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avg. transactions per month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Card/Payments processing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holding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 savings / credit card / investment product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Master / CRM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Data readiness risks identified: </w:t>
      </w:r>
      <w:r>
        <w:t xml:space="preserve">digital activity score needs a consistent definition across mobile/web channels; balance and product-holding snapshots must be taken at the same reference date to avoid mixing periods; customer consent/data-use basis for marketing analytics must be confirmed with Compliance before productionizing.</w:t>
      </w:r>
    </w:p>
    <w:p>
      <w:pPr>
        <w:pStyle w:val="Heading1"/>
        <w:spacing w:after="150" w:before="300"/>
      </w:pPr>
      <w:r>
        <w:t xml:space="preserve">4. Data &amp; Process Flow Diagrams</w:t>
      </w:r>
    </w:p>
    <w:p>
      <w:pPr>
        <w:spacing w:after="120"/>
      </w:pPr>
      <w:r>
        <w:t xml:space="preserve">The diagram below shows how customer demographic, balance, digital-engagement, and product-holding data flow into the clustering pipeline and into segment-targeted campaigns; the sequence diagram details the step-by-step interaction between the data platform, the clustering job, and Marketing/RM.</w:t>
      </w:r>
    </w:p>
    <w:p>
      <w:pPr>
        <w:spacing w:after="100" w:before="200"/>
      </w:pPr>
      <w:r>
        <w:drawing>
          <wp:inline distT="0" distB="0" distL="0" distR="0">
            <wp:extent cx="4572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Figure 1. Data &amp; process flow diagram.</w:t>
      </w:r>
    </w:p>
    <w:p>
      <w:pPr>
        <w:spacing w:after="100" w:before="200"/>
      </w:pPr>
      <w:r>
        <w:drawing>
          <wp:inline distT="0" distB="0" distL="0" distR="0">
            <wp:extent cx="45720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Figure 2. Sequence diagram — segmentation to campaign targeting.</w:t>
      </w:r>
    </w:p>
    <w:p>
      <w:pPr>
        <w:pStyle w:val="Heading1"/>
        <w:spacing w:after="150" w:before="300"/>
      </w:pPr>
      <w:r>
        <w:t xml:space="preserve">5. Prototype &amp; Evaluation (MVP)</w:t>
      </w:r>
    </w:p>
    <w:p>
      <w:pPr>
        <w:spacing w:after="120"/>
      </w:pPr>
      <w:r>
        <w:t xml:space="preserve">A synthetic dataset (6,000 customers) mirroring the attributes above was clustered using K-means (k=4, standardized features) to validate the segmentation approach as an MVP before proposing a production pipeline (feature store + scheduled re-clustering on Databricks) to AI Engineering.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400"/>
        <w:gridCol w:w="3200"/>
      </w:tblGrid>
      <w:tr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 (from clustering)</w:t>
            </w:r>
          </w:p>
        </w:tc>
        <w:tc>
          <w:tcPr>
            <w:tcW w:type="dxa" w:w="1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base</w:t>
            </w:r>
          </w:p>
        </w:tc>
        <w:tc>
          <w:tcPr>
            <w:tcW w:type="dxa" w:w="3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— Affluent newcomer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 balance (~52M), short tenure (~3y), low investment holding (15%)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4.4%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wealth/investment advisory outreach — highest-value, most under-served segment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— Stable long-tenure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 balance, longest tenure (~10y), moderate digital use, low investment holding (12%)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14.6%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Relationship deepening: investment product introduction via RM, not mass digital push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— Established digital user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Older (~46y), short-to-mid tenure, high digital activity, thin product depth (1.7 products)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37.9%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/ personal loan cross-sell via app-based offers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 — Young digital-first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Youngest (~27y), high digital activity, thin product depth (1.5 products)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43.2%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Entry-level credit card + savings-goal features; highest volume, longest-term value-build segment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drawing>
          <wp:inline distT="0" distB="0" distL="0" distR="0">
            <wp:extent cx="4572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Figure 1. Customer segments plotted by average balance vs. digital engagement score, illustrating separation between the affluent segment (A) and the two high-digital-activity, low-product-depth segments (C, D).</w:t>
      </w:r>
    </w:p>
    <w:p>
      <w:pPr>
        <w:spacing w:after="120"/>
      </w:pPr>
      <w:r>
        <w:t xml:space="preserve">Note on methodology: the raw K-means output initially produced generic statistical groupings; the business labels and recommended actions above were derived by cross-checking each cluster's profile against domain knowledge (e.g., a high-balance/low-tenure group is a different opportunity than a high-balance/long-tenure group, even though a purely statistical view might merge them) — this business interpretation step is the core BA contribution on top of the AI Engineering-built clustering output.</w:t>
      </w:r>
    </w:p>
    <w:p>
      <w:pPr>
        <w:pStyle w:val="Heading1"/>
        <w:spacing w:after="150" w:before="300"/>
      </w:pPr>
      <w:r>
        <w:t xml:space="preserve">6. Limitations &amp; Risks (from a business lens)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Synthetic data — segment sizes, profiles, and the specific recommended actions are illustrative; real customer data must be re-clustered and the resulting segments re-validated with Marketing/RM before any campaign is built on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Cluster instability: K-means results can shift with new data or a different k; a production version needs a defined re-segmentation cadence (e.g., quarterly) and a stability check before each campaign cycle.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drift/fairness: using balance and digital activity as primary drivers could inadvertently deprioritize lower-balance or less digitally active (e.g., older, rural) customers from receiving any tailored offer — worth an explicit equity check with Compliance.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 &amp; purpose limitation: customer data used for behavioral segmentation must have a valid marketing-analytics consent basis, and outputs should not be repurposed for credit decisions without separate governance approval.</w:t>
      </w:r>
    </w:p>
    <w:p>
      <w:pPr>
        <w:pStyle w:val="Heading1"/>
        <w:spacing w:after="150" w:before="300"/>
      </w:pPr>
      <w:r>
        <w:t xml:space="preserve">7. KPI / Metrics Framework (Post-Deployment)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600"/>
        <w:gridCol w:w="2400"/>
      </w:tblGrid>
      <w:tr>
        <w:tc>
          <w:tcPr>
            <w:tcW w:type="dxa" w:w="2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2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Segment stability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customers remaining in same segment vs. prior period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Data/AI team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conversion rate by segment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Offer take-up rate, segment vs. segment and vs. non-segmented baseline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campaign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Cross-sell product depth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Avg. number of products per customer, by segment, over time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Business/Product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Opt-out / complaint rate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Unsubscribe or complaint rate on segment-targeted offers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campaign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Marketing/Customer Experience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uplift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Incremental revenue attributable to segment-targeted vs. generic campaigns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Business/Finance</w:t>
            </w:r>
          </w:p>
        </w:tc>
      </w:tr>
    </w:tbl>
    <w:p>
      <w:pPr>
        <w:pStyle w:val="Heading1"/>
        <w:spacing w:after="150" w:before="300"/>
      </w:pPr>
      <w:r>
        <w:t xml:space="preserve">8. Stakeholders &amp; Handover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Marketing/RM: validate segment definitions and recommended actions match how they'd actually run campaigns; own the offer content and channel execution.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Engineering: build the feature pipeline (balance, digital activity, transaction, product-holding) into the Data/AI platform on a refreshable schedule.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Engineering: own the production clustering pipeline architecture, scalability, and scheduled re-training; BA owns business labeling, action mapping, and KPI definition.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Compliance/Data Governance: confirm consent basis for marketing-analytics use of transaction/digital-behavior data before go-live.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unit training: brief RM/branch staff on segment definitions so frontline conversations align with the AI-driven campaign targeting.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zdcdrs-tiivahagmj8xr" Type="http://schemas.openxmlformats.org/officeDocument/2006/relationships/hyperlink" Target="https://www.linkedin.com/in/ng%C3%B4-quang-nguy%C3%AAn-966184140/" TargetMode="External"/><Relationship Id="rId7" Type="http://schemas.openxmlformats.org/officeDocument/2006/relationships/image" Target="media/4d27135329a27d3c5d1216a88e7a6b2c71d21948.png"/><Relationship Id="rId8" Type="http://schemas.openxmlformats.org/officeDocument/2006/relationships/image" Target="media/808f877d017991c2f492377f92e317000eb04efa.png"/><Relationship Id="rId9" Type="http://schemas.openxmlformats.org/officeDocument/2006/relationships/image" Target="media/6c0ca22ae6029c54be42e4d750868094402fb0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2026-08-12T06:28:42.999Z</dcterms:created>
  <dcterms:modified xsi:type="dcterms:W3CDTF">2026-08-12T06:28:43.000Z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