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40"/>
          <w:szCs w:val="40"/>
        </w:rPr>
        <w:t xml:space="preserve">AI Product Case Study</w:t>
      </w:r>
    </w:p>
    <w:p>
      <w:pPr>
        <w:spacing w:after="40"/>
      </w:pPr>
      <w:r>
        <w:rPr>
          <w:color w:val="555555"/>
          <w:sz w:val="28"/>
          <w:szCs w:val="28"/>
        </w:rPr>
        <w:t xml:space="preserve">Project 3 — GenAI Customer Service Assistant (Chatbot)</w:t>
      </w:r>
    </w:p>
    <w:p>
      <w:pPr>
        <w:spacing w:after="60"/>
      </w:pPr>
      <w:r>
        <w:rPr>
          <w:i/>
          <w:iCs/>
          <w:color w:val="888888"/>
          <w:sz w:val="20"/>
          <w:szCs w:val="20"/>
        </w:rPr>
        <w:t xml:space="preserve">Portfolio demo — Business Data Analyst (AI Products) | Prepared by Kevin Ngo</w:t>
      </w:r>
    </w:p>
    <w:p>
      <w:pPr>
        <w:pBdr>
          <w:bottom w:val="single" w:color="DDDDDD" w:sz="6" w:space="6"/>
        </w:pBdr>
        <w:spacing w:after="300"/>
      </w:pPr>
      <w:r>
        <w:rPr>
          <w:i/>
          <w:iCs/>
          <w:color w:val="888888"/>
          <w:sz w:val="20"/>
          <w:szCs w:val="20"/>
        </w:rPr>
        <w:t xml:space="preserve">Author: Kevin Ngo · </w:t>
      </w:r>
      <w:hyperlink w:history="1" r:id="rIdsc6u1cjv4zlqfeicnzxkc">
        <w:r>
          <w:rPr>
            <w:b/>
            <w:bCs/>
            <w:i/>
            <w:iCs/>
            <w:color w:val="1F2A44"/>
            <w:sz w:val="20"/>
            <w:szCs w:val="20"/>
            <w:u w:val="single"/>
          </w:rPr>
          <w:t xml:space="preserve">LinkedIn Profile</w:t>
        </w:r>
      </w:hyperlink>
    </w:p>
    <w:p>
      <w:pPr>
        <w:pStyle w:val="Heading1"/>
        <w:spacing w:after="150" w:before="300"/>
      </w:pPr>
      <w:r>
        <w:t xml:space="preserve">1. Business Context &amp; Problem Statement</w:t>
      </w:r>
    </w:p>
    <w:p>
      <w:pPr>
        <w:spacing w:after="120"/>
      </w:pPr>
      <w:r>
        <w:t xml:space="preserve">Customer service teams handle a high volume of repetitive, low-complexity requests — balance checks, transaction lookups, disputing an unfamiliar charge, basic product inquiries (e.g., credit card eligibility) — alongside genuinely complex cases that need a human agent. Today these are mixed together in the same queue, so simple requests wait behind complex ones, average handling time is inflated, and agents spend time on tasks a well-scoped AI assistant could resolve directly or triage faster.</w:t>
      </w:r>
    </w:p>
    <w:p>
      <w:pPr>
        <w:spacing w:after="100"/>
      </w:pPr>
      <w:r>
        <w:rPr>
          <w:b/>
          <w:bCs/>
        </w:rPr>
        <w:t xml:space="preserve">Business objective: </w:t>
      </w:r>
      <w:r>
        <w:t xml:space="preserve">Deflect and speed up resolution of high-volume, low-complexity CSKH requests using a conversational AI assistant, while ensuring complex, sensitive, or high-risk cases (disputes above a threshold, potential fraud, complaints) are escalated to a human agent with full context — not silently mishandled by the bot.</w:t>
      </w:r>
    </w:p>
    <w:p>
      <w:pPr>
        <w:pStyle w:val="Heading1"/>
        <w:spacing w:after="150" w:before="300"/>
      </w:pPr>
      <w:r>
        <w:t xml:space="preserve">2. Analytical Hypothesis &amp; 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Hypothesis: A defined set of top-volume intents (balance inquiry, transaction lookup, card-related requests, basic product inquiry) can be reliably classified and answered or triaged by an AI assistant integrated with core banking/CRM data, reducing load on live agents without hurting customer satisfaction.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Success criteria (business): measurable reduction in average handling time and in queue volume reaching live agents for the targeted intents, without an increase in complaint rate or repeat contact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Success criteria (analytical): intent classification accuracy high enough on the top intents to be trustworthy for auto-response; a well-defined, low false-negative escalation rule for anything resembling fraud, dispute, or complaint (bias toward escalating, not toward auto-resolving edge cases).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 of scope for this MVP: any action that moves money or changes account status (card lock/unlock, dispute filing) is human-in-the-loop or a separate approved workflow — the assistant informs and triages, not executes financial actions autonomously.</w:t>
      </w:r>
    </w:p>
    <w:p>
      <w:pPr>
        <w:pStyle w:val="Heading1"/>
        <w:spacing w:after="150" w:before="300"/>
      </w:pPr>
      <w:r>
        <w:t xml:space="preserve">3. Data Requirements</w:t>
      </w:r>
    </w:p>
    <w:p>
      <w:pPr>
        <w:spacing w:after="120"/>
      </w:pPr>
      <w:r>
        <w:t xml:space="preserve">Data entities/integrations identified as necessary to move this from a static prototype to a working assistant: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  <w:gridCol w:w="3000"/>
      </w:tblGrid>
      <w:tr>
        <w:tc>
          <w:tcPr>
            <w:tcW w:type="dxa" w:w="28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5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attributes / need</w:t>
            </w:r>
          </w:p>
        </w:tc>
        <w:tc>
          <w:tcPr>
            <w:tcW w:type="dxa" w:w="30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system (illustrative)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Historical CSKH transcripts/tickets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labeled intents, resolution outcome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 / contact center platform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&amp; transaction data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balance, recent transactions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Banking (read-only API)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eligibility rules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/ loan pre-qualification logic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Risk/Product rules engine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 &amp; FAQ content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official wording for policy answers (grounding for RAG)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base / Compliance-approved content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Escalation/CRM routing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queue, SLA, agent context handoff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 (e.g., HubSpot-style ticketing) / contact center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Data readiness risks identified: </w:t>
      </w:r>
      <w:r>
        <w:t xml:space="preserve">historical transcripts need intent labeling (either manual sample labeling or a bootstrapped classifier) before they're usable for evaluation; any policy-answer content the bot surfaces must come from Compliance-approved sources, not be freely generated, to avoid misinformation risk; access to real-time account data requires secure, scoped API access with full audit logging.</w:t>
      </w:r>
    </w:p>
    <w:p>
      <w:pPr>
        <w:pStyle w:val="Heading1"/>
        <w:spacing w:after="150" w:before="300"/>
      </w:pPr>
      <w:r>
        <w:t xml:space="preserve">4. Data &amp; Process Flow Diagrams</w:t>
      </w:r>
    </w:p>
    <w:p>
      <w:pPr>
        <w:spacing w:after="120"/>
      </w:pPr>
      <w:r>
        <w:t xml:space="preserve">The diagram below shows how a customer message is classified by intent and routed down one of two branches (automated grounded reply or escalation to an agent); the sequence diagram details the step-by-step interaction between the customer, the AI assistant, backend systems, and the human CSKH agent.</w:t>
      </w:r>
    </w:p>
    <w:p>
      <w:pPr>
        <w:spacing w:after="100" w:before="200"/>
      </w:pPr>
      <w:r>
        <w:drawing>
          <wp:inline distT="0" distB="0" distL="0" distR="0">
            <wp:extent cx="45720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Figure 1. Data &amp; process flow diagram.</w:t>
      </w:r>
    </w:p>
    <w:p>
      <w:pPr>
        <w:spacing w:after="100" w:before="200"/>
      </w:pPr>
      <w:r>
        <w:drawing>
          <wp:inline distT="0" distB="0" distL="0" distR="0">
            <wp:extent cx="45720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Figure 2. Sequence diagram — message receipt to resolution.</w:t>
      </w:r>
    </w:p>
    <w:p>
      <w:pPr>
        <w:pStyle w:val="Heading1"/>
        <w:spacing w:after="150" w:before="300"/>
      </w:pPr>
      <w:r>
        <w:t xml:space="preserve">5. Prototype (MVP) &amp; What It Demonstrates</w:t>
      </w:r>
    </w:p>
    <w:p>
      <w:pPr>
        <w:spacing w:after="120"/>
      </w:pPr>
      <w:r>
        <w:t xml:space="preserve">A static front-end prototype (chatbot_prototype.html) was built using GenAI-assisted "vibe coding" to align on UX and conversational flow with business and design stakeholders before committing engineering time to a production build. It simulates four core flows: balance inquiry, transaction dispute triage, credit card pre-qualification, and human handoff.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Purpose of this artifact: validate conversational UX, tone, and escalation flow with business stakeholders early — cheaper to iterate on a static prototype than on a live integrated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it is NOT: it has no live model or API behind it (rule-matching on keywords for demo purposes only); a production build would use an LLM with retrieval-augmented generation (RAG) over approved policy content, plus a proper intent classifier and live Core Banking/CRM integration, owned by AI Engineering.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decision reflected in the prototype: every response to a sensitive flow (disputes, card requests) explicitly offers a human path, rather than the bot silently resolving something it isn't authorized to close — same governance principle as Section 2's escalation requirement.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(See accompanying file: chatbot_prototype.html — open in a browser to interact with the demo.)</w:t>
      </w:r>
    </w:p>
    <w:p>
      <w:pPr>
        <w:pStyle w:val="Heading1"/>
        <w:spacing w:after="150" w:before="300"/>
      </w:pPr>
      <w:r>
        <w:t xml:space="preserve">6. Limitations &amp; Risks (from a business lens)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Prototype uses static keyword matching, not a real language model — it demonstrates flow and UX only; classification accuracy, hallucination risk, and latency must be evaluated separately once a real model is wired 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Hallucination/misinformation risk: any production assistant must ground policy answers in approved content (RAG) rather than free-generating financial/policy information — a key AI-risk item for Compliance sign-off.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 completeness: the rule set for what triggers human handoff must be exhaustively reviewed with Risk/Compliance/CSKH leadership — a missed escalation trigger (e.g., a fraud-adjacent phrase not recognized) is a real customer-harm risk, not just a UX gap.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Channel/session security: any production version handling account data needs proper authentication (not just a chat session) before revealing balance or transaction details.</w:t>
      </w:r>
    </w:p>
    <w:p>
      <w:pPr>
        <w:pStyle w:val="Heading1"/>
        <w:spacing w:after="150" w:before="300"/>
      </w:pPr>
      <w:r>
        <w:t xml:space="preserve">7. KPI / Metrics Framework (Post-Deployment)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1600"/>
        <w:gridCol w:w="2200"/>
      </w:tblGrid>
      <w:tr>
        <w:tc>
          <w:tcPr>
            <w:tcW w:type="dxa" w:w="30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6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2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Containment / deflection rate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conversations resolved without human agent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CSKH Ops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Intent classification accuracy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user messages correctly routed/answered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Engineering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Escalation precision &amp; recall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sensitive cases correctly escalated vs. missed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Risk/Compliance + CSKH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handling time (deflected + escalated)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from first message to resolution, by path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CSKH Ops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CSAT / complaint rate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satisfaction and complaint volume post-interaction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CSKH Ops</w:t>
            </w:r>
          </w:p>
        </w:tc>
      </w:tr>
    </w:tbl>
    <w:p>
      <w:pPr>
        <w:pStyle w:val="Heading1"/>
        <w:spacing w:after="150" w:before="300"/>
      </w:pPr>
      <w:r>
        <w:t xml:space="preserve">8. Stakeholders &amp; Handover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CSKH Ops leadership: validate top intents by volume, define acceptable containment vs. escalation targets, sign off on conversational tone/branding.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Engineering: own the production architecture — LLM selection, RAG pipeline over approved knowledge base, intent classifier, scalability, and live system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Compliance/Risk: approve knowledge-base content used for grounding, review and approve the escalation rule set, sign off before go-live given customer-facing financial context.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CRM/Contact Center team: define handoff protocol so escalated conversations arrive with full context (no repeating information to a human agent).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 role in handover: own the requirements/intent taxonomy, escalation logic definition, KPI framework, and act as the conduit validating that what AI Engineering builds matches the approved business flows — not the underlying model architecture itself.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c6u1cjv4zlqfeicnzxkc" Type="http://schemas.openxmlformats.org/officeDocument/2006/relationships/hyperlink" Target="https://www.linkedin.com/in/ng%C3%B4-quang-nguy%C3%AAn-966184140/" TargetMode="External"/><Relationship Id="rId7" Type="http://schemas.openxmlformats.org/officeDocument/2006/relationships/image" Target="media/5d1e1921f60ff8eb1003381c0f7ad61630810f35.png"/><Relationship Id="rId8" Type="http://schemas.openxmlformats.org/officeDocument/2006/relationships/image" Target="media/da4535f87e6c2c7cdd85aa01c910faa39b629ee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2026-08-12T06:28:43.326Z</dcterms:created>
  <dcterms:modified xsi:type="dcterms:W3CDTF">2026-08-12T06:28:43.326Z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