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ÉTUDE DU CAHIER DES CHARGES</w:t>
      </w:r>
      <w:r>
        <w:br/>
      </w:r>
      <w:r>
        <w:t xml:space="preserve">ET ÉVALUATION DU BESOIN</w:t>
      </w:r>
    </w:p>
    <w:p>
      <w:pPr>
        <w:pStyle w:val="Subtitle"/>
      </w:pPr>
      <w:r>
        <w:t xml:space="preserve">Migration et sécurisation du système d’information de KHS Bank</w:t>
      </w:r>
    </w:p>
    <w:p>
      <w:pPr>
        <w:pStyle w:val="BodyText"/>
      </w:pPr>
      <w:r>
        <w:rPr>
          <w:bCs/>
          <w:b/>
        </w:rPr>
        <w:t xml:space="preserve">Titre RNCP Ingénieur Systèmes, Réseaux et Cybersécurité — Niveau 7 (EU)</w:t>
      </w:r>
    </w:p>
    <w:p>
      <w:pPr>
        <w:pStyle w:val="BodyText"/>
      </w:pPr>
      <w:r>
        <w:rPr>
          <w:bCs/>
          <w:b/>
        </w:rPr>
        <w:t xml:space="preserve">Institut Européen F2I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Cs/>
          <w:b/>
        </w:rPr>
        <w:t xml:space="preserve">Client :</w:t>
      </w:r>
      <w:r>
        <w:t xml:space="preserve"> </w:t>
      </w:r>
      <w:r>
        <w:t xml:space="preserve">KHS Bank</w:t>
      </w:r>
    </w:p>
    <w:p>
      <w:pPr>
        <w:pStyle w:val="BodyText"/>
      </w:pPr>
      <w:r>
        <w:rPr>
          <w:bCs/>
          <w:b/>
        </w:rPr>
        <w:t xml:space="preserve">Prestataire :</w:t>
      </w:r>
      <w:r>
        <w:t xml:space="preserve"> </w:t>
      </w:r>
      <w:r>
        <w:t xml:space="preserve">MOM-TECH</w:t>
      </w:r>
    </w:p>
    <w:p>
      <w:pPr>
        <w:pStyle w:val="BodyText"/>
      </w:pPr>
      <w:r>
        <w:rPr>
          <w:bCs/>
          <w:b/>
        </w:rPr>
        <w:t xml:space="preserve">Candidats :</w:t>
      </w:r>
      <w:r>
        <w:t xml:space="preserve"> </w:t>
      </w:r>
      <w:r>
        <w:rPr>
          <w:iCs/>
          <w:i/>
        </w:rPr>
        <w:t xml:space="preserve">[Prénom NOM 1]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2]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3]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4]</w:t>
      </w:r>
    </w:p>
    <w:p>
      <w:pPr>
        <w:pStyle w:val="BodyText"/>
      </w:pPr>
      <w:r>
        <w:rPr>
          <w:bCs/>
          <w:b/>
        </w:rPr>
        <w:t xml:space="preserve">Session :</w:t>
      </w:r>
      <w:r>
        <w:t xml:space="preserve"> </w:t>
      </w:r>
      <w:r>
        <w:t xml:space="preserve">2026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Sommaire</w:t>
          </w:r>
        </w:p>
        <w:p>
          <w:r>
            <w:fldChar w:fldCharType="begin" w:dirty="true"/>
            <w:instrText xml:space="preserve"> TOC \o "1-3" \h \z \u 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1" w:name="X729e15fed0714dce85dd13afbd0dcbb0830090a"/>
    <w:p>
      <w:pPr>
        <w:pStyle w:val="Heading1"/>
      </w:pPr>
      <w:r>
        <w:t xml:space="preserve">Étude du cahier des charges et évaluation du besoin</w:t>
      </w:r>
    </w:p>
    <w:p>
      <w:pPr>
        <w:pStyle w:val="BlockText"/>
      </w:pPr>
      <w:r>
        <w:t xml:space="preserve">Analyse du cahier des charges KHS Bank par MOM-TECH, préalable à</w:t>
      </w:r>
      <w:r>
        <w:t xml:space="preserve"> </w:t>
      </w:r>
      <w:r>
        <w:t xml:space="preserve">toute proposition de solution. Cette étude structure les besoins exprimés par domaine, formalise les</w:t>
      </w:r>
      <w:r>
        <w:t xml:space="preserve"> </w:t>
      </w:r>
      <w:r>
        <w:t xml:space="preserve">contraintes à respecter et fixe la méthode d’audit qui sera mise en œuvre (cf. </w:t>
      </w:r>
      <w:hyperlink r:id="rId20">
        <w:r>
          <w:rPr>
            <w:rStyle w:val="Hyperlink"/>
          </w:rPr>
          <w:t xml:space="preserve">audit de l’existant</w:t>
        </w:r>
      </w:hyperlink>
      <w:r>
        <w:t xml:space="preserve">).</w:t>
      </w:r>
    </w:p>
    <w:bookmarkStart w:id="21" w:name="synthèse-des-objectifs-du-projet"/>
    <w:p>
      <w:pPr>
        <w:pStyle w:val="Heading2"/>
      </w:pPr>
      <w:r>
        <w:t xml:space="preserve">1. Synthèse des objectifs du projet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Traduction opérationnelle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Fiabiliser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Redondance réseau, PRA/PCA formalisé, haute disponibilité des services bancaires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Sécuriser le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conformité RGPD/ACPR/DSP2/PCI-DSS, SOC/SIEM, IAM, GED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Moderniser les usages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Office 365, harmonisation du parc, unification des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Maîtriser les coûts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Rationalisation du parc et des licences, budget encadré à 14 M€/an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Accompagner le changement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formation, communication, gestion des risques humains</w:t>
            </w:r>
          </w:p>
        </w:tc>
      </w:tr>
    </w:tbl>
    <w:bookmarkEnd w:id="21"/>
    <w:bookmarkStart w:id="25" w:name="synthèse-des-besoins-par-domaine"/>
    <w:p>
      <w:pPr>
        <w:pStyle w:val="Heading2"/>
      </w:pPr>
      <w:r>
        <w:t xml:space="preserve">2. Synthèse des besoins par domaine</w:t>
      </w:r>
    </w:p>
    <w:bookmarkStart w:id="22" w:name="besoins-réseaux"/>
    <w:p>
      <w:pPr>
        <w:pStyle w:val="Heading3"/>
      </w:pPr>
      <w:r>
        <w:t xml:space="preserve">2.1 Besoins réseaux</w:t>
      </w:r>
    </w:p>
    <w:p>
      <w:pPr>
        <w:numPr>
          <w:ilvl w:val="0"/>
          <w:numId w:val="1001"/>
        </w:numPr>
        <w:pStyle w:val="Compact"/>
      </w:pPr>
      <w:r>
        <w:t xml:space="preserve">Fiabiliser la liaison inter-sites (siège Paris ↔ site Lyon), actuellement assurée par un lien VPN unique</w:t>
      </w:r>
      <w:r>
        <w:t xml:space="preserve"> </w:t>
      </w:r>
      <w:r>
        <w:t xml:space="preserve">sans secours.</w:t>
      </w:r>
    </w:p>
    <w:p>
      <w:pPr>
        <w:numPr>
          <w:ilvl w:val="0"/>
          <w:numId w:val="1001"/>
        </w:numPr>
        <w:pStyle w:val="Compact"/>
      </w:pPr>
      <w:r>
        <w:t xml:space="preserve">Segmenter le réseau (DMZ, séparation des flux bancaires/bureautiques/invités) pour réduire la surface</w:t>
      </w:r>
      <w:r>
        <w:t xml:space="preserve"> </w:t>
      </w:r>
      <w:r>
        <w:t xml:space="preserve">d’attaque.</w:t>
      </w:r>
    </w:p>
    <w:p>
      <w:pPr>
        <w:numPr>
          <w:ilvl w:val="0"/>
          <w:numId w:val="1001"/>
        </w:numPr>
        <w:pStyle w:val="Compact"/>
      </w:pPr>
      <w:r>
        <w:t xml:space="preserve">Mettre à niveau des équipements réseau vieillissants (switches, routeurs) et homogénéiser le parc.</w:t>
      </w:r>
    </w:p>
    <w:p>
      <w:pPr>
        <w:numPr>
          <w:ilvl w:val="0"/>
          <w:numId w:val="1001"/>
        </w:numPr>
        <w:pStyle w:val="Compact"/>
      </w:pPr>
      <w:r>
        <w:t xml:space="preserve">Garantir la disponibilité des moyens de paiement (contrainte réglementaire ACPR).</w:t>
      </w:r>
    </w:p>
    <w:bookmarkEnd w:id="22"/>
    <w:bookmarkStart w:id="23" w:name="besoins-en-cybersécurité"/>
    <w:p>
      <w:pPr>
        <w:pStyle w:val="Heading3"/>
      </w:pPr>
      <w:r>
        <w:t xml:space="preserve">2.2 Besoins en cybersécurité</w:t>
      </w:r>
    </w:p>
    <w:p>
      <w:pPr>
        <w:numPr>
          <w:ilvl w:val="0"/>
          <w:numId w:val="1002"/>
        </w:numPr>
        <w:pStyle w:val="Compact"/>
      </w:pPr>
      <w:r>
        <w:t xml:space="preserve">Combler l’absence de SOC/SIEM et de politique de détection d’intrusion.</w:t>
      </w:r>
    </w:p>
    <w:p>
      <w:pPr>
        <w:numPr>
          <w:ilvl w:val="0"/>
          <w:numId w:val="1002"/>
        </w:numPr>
        <w:pStyle w:val="Compact"/>
      </w:pPr>
      <w:r>
        <w:t xml:space="preserve">Sécuriser les accès (IAM, authentification forte conforme DSP2) et les échanges de documents</w:t>
      </w:r>
      <w:r>
        <w:t xml:space="preserve"> </w:t>
      </w:r>
      <w:r>
        <w:t xml:space="preserve">sensibles (GED sécurisée, DLP).</w:t>
      </w:r>
    </w:p>
    <w:p>
      <w:pPr>
        <w:numPr>
          <w:ilvl w:val="0"/>
          <w:numId w:val="1002"/>
        </w:numPr>
        <w:pStyle w:val="Compact"/>
      </w:pPr>
      <w:r>
        <w:t xml:space="preserve">Mettre en place un PRA/PCA formalisé avec RPO/RTO définis, adaptés aux exigences de continuité d’un</w:t>
      </w:r>
      <w:r>
        <w:t xml:space="preserve"> </w:t>
      </w:r>
      <w:r>
        <w:t xml:space="preserve">établissement bancaire.</w:t>
      </w:r>
    </w:p>
    <w:p>
      <w:pPr>
        <w:numPr>
          <w:ilvl w:val="0"/>
          <w:numId w:val="1002"/>
        </w:numPr>
        <w:pStyle w:val="Compact"/>
      </w:pPr>
      <w:r>
        <w:t xml:space="preserve">Assurer la conformité RGPD (cartographie des traitements, protection des données clients) et la</w:t>
      </w:r>
      <w:r>
        <w:t xml:space="preserve"> </w:t>
      </w:r>
      <w:r>
        <w:t xml:space="preserve">résistance aux menaces ciblant spécifiquement le secteur (fraude, hameçonnage, rançongiciel).</w:t>
      </w:r>
    </w:p>
    <w:bookmarkEnd w:id="23"/>
    <w:bookmarkStart w:id="24" w:name="besoins-système"/>
    <w:p>
      <w:pPr>
        <w:pStyle w:val="Heading3"/>
      </w:pPr>
      <w:r>
        <w:t xml:space="preserve">2.3 Besoins système</w:t>
      </w:r>
    </w:p>
    <w:p>
      <w:pPr>
        <w:numPr>
          <w:ilvl w:val="0"/>
          <w:numId w:val="1003"/>
        </w:numPr>
        <w:pStyle w:val="Compact"/>
      </w:pPr>
      <w:r>
        <w:t xml:space="preserve">Remplacer les systèmes obsolètes (Windows 8, Office 2007/2010/2011, Exchange 2013, AD 2016,</w:t>
      </w:r>
      <w:r>
        <w:t xml:space="preserve"> </w:t>
      </w:r>
      <w:r>
        <w:t xml:space="preserve">SQL Server 2012) par des versions supportées et sécurisées.</w:t>
      </w:r>
    </w:p>
    <w:p>
      <w:pPr>
        <w:numPr>
          <w:ilvl w:val="0"/>
          <w:numId w:val="1003"/>
        </w:numPr>
        <w:pStyle w:val="Compact"/>
      </w:pPr>
      <w:r>
        <w:t xml:space="preserve">Fiabiliser le stockage et la sauvegarde (actuellement une baie unique et des bandes conservées sur</w:t>
      </w:r>
      <w:r>
        <w:t xml:space="preserve"> </w:t>
      </w:r>
      <w:r>
        <w:t xml:space="preserve">site, sans copie externalisée).</w:t>
      </w:r>
    </w:p>
    <w:p>
      <w:pPr>
        <w:numPr>
          <w:ilvl w:val="0"/>
          <w:numId w:val="1003"/>
        </w:numPr>
        <w:pStyle w:val="Compact"/>
      </w:pPr>
      <w:r>
        <w:t xml:space="preserve">Uniformiser le déploiement des postes de travail et des applicatifs (actuellement hétérogènes).</w:t>
      </w:r>
    </w:p>
    <w:p>
      <w:pPr>
        <w:numPr>
          <w:ilvl w:val="0"/>
          <w:numId w:val="1003"/>
        </w:numPr>
        <w:pStyle w:val="Compact"/>
      </w:pPr>
      <w:r>
        <w:t xml:space="preserve">Garantir la compatibilité et la continuité de fonctionnement de l’application métier</w:t>
      </w:r>
      <w:r>
        <w:t xml:space="preserve"> </w:t>
      </w:r>
      <w:r>
        <w:rPr>
          <w:bCs/>
          <w:b/>
        </w:rPr>
        <w:t xml:space="preserve">KHS-Core</w:t>
      </w:r>
      <w:r>
        <w:t xml:space="preserve">.</w:t>
      </w:r>
    </w:p>
    <w:bookmarkEnd w:id="24"/>
    <w:bookmarkEnd w:id="25"/>
    <w:bookmarkStart w:id="26" w:name="contraintes-identifiées"/>
    <w:p>
      <w:pPr>
        <w:pStyle w:val="Heading2"/>
      </w:pPr>
      <w:r>
        <w:t xml:space="preserve">3. Contraintes identifiées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Réglementaire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RGPD, ACPR, DSP2, PCI-DSS, secret bancaire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Méthodologique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Démarche ITIL v4 obligatoire ; équipe projet structurée en 2 sous-équipes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sites (Paris/Lyon), 920 utilisateurs, réticence des équipes IT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annuel plafonné à 14 M€ pour la maintenance et l’évolution du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interruption totale de service tolérée, en particulier sur les moyens de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KHS-Core (progiciel bancaire) hors périmètre de maintenance applicative, mais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d’hébergement est dans le périmètre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méthode-et-mise-en-place-de-laudit"/>
    <w:p>
      <w:pPr>
        <w:pStyle w:val="Heading2"/>
      </w:pPr>
      <w:r>
        <w:t xml:space="preserve">4. Méthode et mise en place de l’audit</w:t>
      </w:r>
    </w:p>
    <w:p>
      <w:pPr>
        <w:pStyle w:val="FirstParagraph"/>
      </w:pPr>
      <w:r>
        <w:t xml:space="preserve">Conformément à la démarche ITIL v4 (phase</w:t>
      </w:r>
      <w:r>
        <w:t xml:space="preserve"> </w:t>
      </w:r>
      <w:r>
        <w:rPr>
          <w:iCs/>
          <w:i/>
        </w:rPr>
        <w:t xml:space="preserve">Strategize</w:t>
      </w:r>
      <w:r>
        <w:t xml:space="preserve"> </w:t>
      </w:r>
      <w:r>
        <w:t xml:space="preserve">puis</w:t>
      </w:r>
      <w:r>
        <w:t xml:space="preserve"> </w:t>
      </w:r>
      <w:r>
        <w:rPr>
          <w:iCs/>
          <w:i/>
        </w:rPr>
        <w:t xml:space="preserve">Design &amp; Transition</w:t>
      </w:r>
      <w:r>
        <w:t xml:space="preserve">), MOM-TECH engage un</w:t>
      </w:r>
      <w:r>
        <w:t xml:space="preserve"> </w:t>
      </w:r>
      <w:r>
        <w:t xml:space="preserve">audit structuré en trois volets, mené en parallèle par les deux sous-équipes projet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réseau</w:t>
      </w:r>
      <w:r>
        <w:t xml:space="preserve"> </w:t>
      </w:r>
      <w:r>
        <w:t xml:space="preserve">(Équipe Réseau &amp; Sécurité) : relevé de l’architecture existante, des équipements, de la</w:t>
      </w:r>
      <w:r>
        <w:t xml:space="preserve"> </w:t>
      </w:r>
      <w:r>
        <w:t xml:space="preserve">segmentation, des liens VPN et de leur redondance.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systèmes</w:t>
      </w:r>
      <w:r>
        <w:t xml:space="preserve"> </w:t>
      </w:r>
      <w:r>
        <w:t xml:space="preserve">(Équipe Architecture Système) : inventaire des serveurs, des services (AD, DNS,</w:t>
      </w:r>
      <w:r>
        <w:t xml:space="preserve"> </w:t>
      </w:r>
      <w:r>
        <w:t xml:space="preserve">DHCP, messagerie, fichiers), des postes de travail et des politiques de sauvegarde.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 cybersécurité</w:t>
      </w:r>
      <w:r>
        <w:t xml:space="preserve"> </w:t>
      </w:r>
      <w:r>
        <w:t xml:space="preserve">(transverse aux deux équipes) : évaluation des politiques de sécurité, des accès,</w:t>
      </w:r>
      <w:r>
        <w:t xml:space="preserve"> </w:t>
      </w:r>
      <w:r>
        <w:t xml:space="preserve">de la surface d’exposition et de la conformité réglementaire.</w:t>
      </w:r>
    </w:p>
    <w:p>
      <w:pPr>
        <w:pStyle w:val="FirstParagraph"/>
      </w:pPr>
      <w:r>
        <w:t xml:space="preserve">Chaque volet suit la même méthode en quatre étapes :</w:t>
      </w:r>
      <w:r>
        <w:t xml:space="preserve"> </w:t>
      </w:r>
      <w:r>
        <w:rPr>
          <w:bCs/>
          <w:b/>
        </w:rPr>
        <w:t xml:space="preserve">inventaire exhaustif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entretiens avec les</w:t>
      </w:r>
      <w:r>
        <w:rPr>
          <w:bCs/>
          <w:b/>
        </w:rPr>
        <w:t xml:space="preserve"> </w:t>
      </w:r>
      <w:r>
        <w:rPr>
          <w:bCs/>
          <w:b/>
        </w:rPr>
        <w:t xml:space="preserve">parties prenantes</w:t>
      </w:r>
      <w:r>
        <w:t xml:space="preserve"> </w:t>
      </w:r>
      <w:r>
        <w:t xml:space="preserve">(DSI, RSSI, utilisateurs représentatifs) →</w:t>
      </w:r>
      <w:r>
        <w:t xml:space="preserve"> </w:t>
      </w:r>
      <w:r>
        <w:rPr>
          <w:bCs/>
          <w:b/>
        </w:rPr>
        <w:t xml:space="preserve">analyse des écarts</w:t>
      </w:r>
      <w:r>
        <w:t xml:space="preserve"> </w:t>
      </w:r>
      <w:r>
        <w:t xml:space="preserve">par rapport aux</w:t>
      </w:r>
      <w:r>
        <w:t xml:space="preserve"> </w:t>
      </w:r>
      <w:r>
        <w:t xml:space="preserve">exigences du cahier des charges →</w:t>
      </w:r>
      <w:r>
        <w:t xml:space="preserve"> </w:t>
      </w:r>
      <w:r>
        <w:rPr>
          <w:bCs/>
          <w:b/>
        </w:rPr>
        <w:t xml:space="preserve">restitution structurée</w:t>
      </w:r>
      <w:r>
        <w:t xml:space="preserve"> </w:t>
      </w:r>
      <w:r>
        <w:t xml:space="preserve">(constats, risques, recommandations),</w:t>
      </w:r>
      <w:r>
        <w:t xml:space="preserve"> </w:t>
      </w:r>
      <w:r>
        <w:t xml:space="preserve">formalisée dans un rapport d’audit par domaine.</w:t>
      </w:r>
    </w:p>
    <w:p>
      <w:pPr>
        <w:pStyle w:val="BodyText"/>
      </w:pPr>
      <w:r>
        <w:t xml:space="preserve">Les résultats de cet audit sont détaillés dans la section</w:t>
      </w:r>
      <w:r>
        <w:t xml:space="preserve"> </w:t>
      </w:r>
      <w:hyperlink r:id="rId20">
        <w:r>
          <w:rPr>
            <w:rStyle w:val="Hyperlink"/>
          </w:rPr>
          <w:t xml:space="preserve">Audit de l’existant</w:t>
        </w:r>
      </w:hyperlink>
      <w:r>
        <w:t xml:space="preserve">.</w:t>
      </w:r>
    </w:p>
    <w:bookmarkEnd w:id="27"/>
    <w:bookmarkStart w:id="30" w:name="résultats-attendus-délais-et-évaluation"/>
    <w:p>
      <w:pPr>
        <w:pStyle w:val="Heading2"/>
      </w:pPr>
      <w:r>
        <w:t xml:space="preserve">5. Résultats attendus, délais et évaluation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Résultats attendus</w:t>
      </w:r>
      <w:r>
        <w:t xml:space="preserve"> </w:t>
      </w:r>
      <w:r>
        <w:t xml:space="preserve">: diagnostic complet du SI, architecture cible justifiée, plan de migration sans</w:t>
      </w:r>
      <w:r>
        <w:t xml:space="preserve"> </w:t>
      </w:r>
      <w:r>
        <w:t xml:space="preserve">interruption de service, conformité réglementaire démontrée.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Délais</w:t>
      </w:r>
      <w:r>
        <w:t xml:space="preserve"> </w:t>
      </w:r>
      <w:r>
        <w:t xml:space="preserve">: planning détaillé dans le diagramme de Gantt (cf. </w:t>
      </w:r>
      <w:hyperlink r:id="rId28">
        <w:r>
          <w:rPr>
            <w:rStyle w:val="Hyperlink"/>
          </w:rPr>
          <w:t xml:space="preserve">gestion de projet</w:t>
        </w:r>
      </w:hyperlink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Évaluation</w:t>
      </w:r>
      <w:r>
        <w:t xml:space="preserve"> </w:t>
      </w:r>
      <w:r>
        <w:t xml:space="preserve">: recette contractuelle en fin de projet (cf. </w:t>
      </w:r>
      <w:hyperlink r:id="rId29">
        <w:r>
          <w:rPr>
            <w:rStyle w:val="Hyperlink"/>
          </w:rPr>
          <w:t xml:space="preserve">Recette</w:t>
        </w:r>
      </w:hyperlink>
      <w:r>
        <w:t xml:space="preserve">),</w:t>
      </w:r>
      <w:r>
        <w:t xml:space="preserve"> </w:t>
      </w:r>
      <w:r>
        <w:t xml:space="preserve">validée conjointement par la DSI et la Direction Conformité &amp; Sécurité de KHS Bank.</w:t>
      </w:r>
    </w:p>
    <w:p>
      <w:r>
        <w:br w:type="page"/>
      </w:r>
    </w:p>
    <w:bookmarkEnd w:id="30"/>
    <w:bookmarkEnd w:id="31"/>
    <w:bookmarkStart w:id="55" w:name="Xa3a1a5b2787eff4ff9f1ed7c4f6fd12836972c8"/>
    <w:p>
      <w:pPr>
        <w:pStyle w:val="Heading1"/>
      </w:pPr>
      <w:r>
        <w:t xml:space="preserve">Annexe — Cahier des charges KHS Bank (texte intégral)</w:t>
      </w:r>
    </w:p>
    <w:bookmarkStart w:id="54" w:name="Xd27635c6fe7c56786bdd7ae0d6dbccc4d00f676"/>
    <w:p>
      <w:pPr>
        <w:pStyle w:val="Heading2"/>
      </w:pPr>
      <w:r>
        <w:t xml:space="preserve">Cahier des charges pour l’évolution du système d’information de KHS BANK</w:t>
      </w:r>
    </w:p>
    <w:p>
      <w:pPr>
        <w:pStyle w:val="BlockText"/>
      </w:pPr>
      <w:r>
        <w:t xml:space="preserve">Document rédigé par le donneur d’ordre (KHS Bank), adapté du modèle de cahier des charges fourni par</w:t>
      </w:r>
      <w:r>
        <w:t xml:space="preserve"> </w:t>
      </w:r>
      <w:r>
        <w:t xml:space="preserve">l’établissement de formation (Groupe Solaris) au secteur bancaire. Ce document sert de point d’entrée</w:t>
      </w:r>
      <w:r>
        <w:t xml:space="preserve"> </w:t>
      </w:r>
      <w:r>
        <w:t xml:space="preserve">au dossier de mise en situation : il fixe le périmètre, les contraintes et l’infrastructure existante que</w:t>
      </w:r>
      <w:r>
        <w:t xml:space="preserve"> </w:t>
      </w:r>
      <w:r>
        <w:t xml:space="preserve">MOM-TECH doit auditer puis faire évoluer.</w:t>
      </w:r>
    </w:p>
    <w:bookmarkStart w:id="38" w:name="contexte"/>
    <w:p>
      <w:pPr>
        <w:pStyle w:val="Heading3"/>
      </w:pPr>
      <w:r>
        <w:t xml:space="preserve">1. Contexte</w:t>
      </w:r>
    </w:p>
    <w:bookmarkStart w:id="32" w:name="objet-du-marché"/>
    <w:p>
      <w:pPr>
        <w:pStyle w:val="Heading4"/>
      </w:pPr>
      <w:r>
        <w:t xml:space="preserve">1.1 Objet du marché</w:t>
      </w:r>
    </w:p>
    <w:p>
      <w:pPr>
        <w:pStyle w:val="FirstParagraph"/>
      </w:pPr>
      <w:r>
        <w:t xml:space="preserve">Ce cahier des charges définit la mission générale de la prestation informatique dans les établissements</w:t>
      </w:r>
      <w:r>
        <w:t xml:space="preserve"> </w:t>
      </w:r>
      <w:r>
        <w:t xml:space="preserve">du groupe</w:t>
      </w:r>
      <w:r>
        <w:t xml:space="preserve"> </w:t>
      </w:r>
      <w:r>
        <w:rPr>
          <w:bCs/>
          <w:b/>
        </w:rPr>
        <w:t xml:space="preserve">KHS Bank</w:t>
      </w:r>
      <w:r>
        <w:t xml:space="preserve">.</w:t>
      </w:r>
    </w:p>
    <w:p>
      <w:pPr>
        <w:pStyle w:val="BodyText"/>
      </w:pPr>
      <w:r>
        <w:t xml:space="preserve">L’évolution concerne la totalité du système d’information des deux sites, à partir de l’infrastructure</w:t>
      </w:r>
      <w:r>
        <w:t xml:space="preserve"> </w:t>
      </w:r>
      <w:r>
        <w:t xml:space="preserve">réseau (matérielle et logicielle), des serveurs et postes de travail, des terminaux connectés, des services</w:t>
      </w:r>
      <w:r>
        <w:t xml:space="preserve"> </w:t>
      </w:r>
      <w:r>
        <w:t xml:space="preserve">et applications bancaires et bureautiques, des procédures de maintenance courante et de sécurité, ainsi</w:t>
      </w:r>
      <w:r>
        <w:t xml:space="preserve"> </w:t>
      </w:r>
      <w:r>
        <w:t xml:space="preserve">que de la mise en conformité avec les nouveaux enjeux de la cybersécurité et de la continuité d’activité</w:t>
      </w:r>
      <w:r>
        <w:t xml:space="preserve"> </w:t>
      </w:r>
      <w:r>
        <w:t xml:space="preserve">(gestion de crise, exigences de résilience propres au secteur bancaire). Le donneur d’ordre attend</w:t>
      </w:r>
      <w:r>
        <w:t xml:space="preserve"> </w:t>
      </w:r>
      <w:r>
        <w:t xml:space="preserve">également des recommandations sur tout élément non prévu au présent projet mais dont le prestataire,</w:t>
      </w:r>
      <w:r>
        <w:t xml:space="preserve"> </w:t>
      </w:r>
      <w:r>
        <w:t xml:space="preserve">de par sa compétence technique, estimerait l’évolution nécessaire ; dans ce cas, une étude d’impact</w:t>
      </w:r>
      <w:r>
        <w:t xml:space="preserve"> </w:t>
      </w:r>
      <w:r>
        <w:t xml:space="preserve">(bénéfices/risques) devra être fournie.</w:t>
      </w:r>
    </w:p>
    <w:p>
      <w:pPr>
        <w:pStyle w:val="BodyText"/>
      </w:pPr>
      <w:r>
        <w:t xml:space="preserve">L’ampleur de la tâche et la portée des mesures dépendent :</w:t>
      </w:r>
    </w:p>
    <w:p>
      <w:pPr>
        <w:numPr>
          <w:ilvl w:val="0"/>
          <w:numId w:val="1006"/>
        </w:numPr>
        <w:pStyle w:val="Compact"/>
      </w:pPr>
      <w:r>
        <w:t xml:space="preserve">de la taille du parc informatique et des équipements réseau ;</w:t>
      </w:r>
    </w:p>
    <w:p>
      <w:pPr>
        <w:numPr>
          <w:ilvl w:val="0"/>
          <w:numId w:val="1006"/>
        </w:numPr>
        <w:pStyle w:val="Compact"/>
      </w:pPr>
      <w:r>
        <w:t xml:space="preserve">du volume et de la sensibilité des données traitées (données bancaires et personnelles des clients) ;</w:t>
      </w:r>
    </w:p>
    <w:p>
      <w:pPr>
        <w:numPr>
          <w:ilvl w:val="0"/>
          <w:numId w:val="1006"/>
        </w:numPr>
        <w:pStyle w:val="Compact"/>
      </w:pPr>
      <w:r>
        <w:t xml:space="preserve">de la complexité de l’infrastructure ;</w:t>
      </w:r>
    </w:p>
    <w:p>
      <w:pPr>
        <w:numPr>
          <w:ilvl w:val="0"/>
          <w:numId w:val="1006"/>
        </w:numPr>
        <w:pStyle w:val="Compact"/>
      </w:pPr>
      <w:r>
        <w:t xml:space="preserve">des spécificités et de l’organisation interne de l’établissement (contraintes réglementaires du secteur</w:t>
      </w:r>
      <w:r>
        <w:t xml:space="preserve"> </w:t>
      </w:r>
      <w:r>
        <w:t xml:space="preserve">bancaire) ;</w:t>
      </w:r>
    </w:p>
    <w:p>
      <w:pPr>
        <w:numPr>
          <w:ilvl w:val="0"/>
          <w:numId w:val="1006"/>
        </w:numPr>
        <w:pStyle w:val="Compact"/>
      </w:pPr>
      <w:r>
        <w:t xml:space="preserve">des moyens mis à disposition.</w:t>
      </w:r>
    </w:p>
    <w:p>
      <w:pPr>
        <w:pStyle w:val="FirstParagraph"/>
      </w:pPr>
      <w:r>
        <w:rPr>
          <w:bCs/>
          <w:b/>
        </w:rPr>
        <w:t xml:space="preserve">NB :</w:t>
      </w:r>
      <w:r>
        <w:t xml:space="preserve"> </w:t>
      </w:r>
      <w:r>
        <w:t xml:space="preserve">L’application métier cœur de métier (le progiciel bancaire</w:t>
      </w:r>
      <w:r>
        <w:t xml:space="preserve"> </w:t>
      </w:r>
      <w:r>
        <w:rPr>
          <w:bCs/>
          <w:b/>
        </w:rPr>
        <w:t xml:space="preserve">KHS-Core</w:t>
      </w:r>
      <w:r>
        <w:t xml:space="preserve">) n’est pas concernée par la</w:t>
      </w:r>
      <w:r>
        <w:t xml:space="preserve"> </w:t>
      </w:r>
      <w:r>
        <w:t xml:space="preserve">maintenance applicative, celle-ci étant prise en charge par l’éditeur. Le prestataire reste néanmoins</w:t>
      </w:r>
      <w:r>
        <w:t xml:space="preserve"> </w:t>
      </w:r>
      <w:r>
        <w:t xml:space="preserve">responsable de l’infrastructure qui l’héberge (serveurs, base de données, réseau, sécurité).</w:t>
      </w:r>
    </w:p>
    <w:bookmarkEnd w:id="32"/>
    <w:bookmarkStart w:id="33" w:name="champ-dapplication"/>
    <w:p>
      <w:pPr>
        <w:pStyle w:val="Heading4"/>
      </w:pPr>
      <w:r>
        <w:t xml:space="preserve">1.2 Champ d’application</w:t>
      </w:r>
    </w:p>
    <w:p>
      <w:pPr>
        <w:pStyle w:val="FirstParagraph"/>
      </w:pPr>
      <w:r>
        <w:t xml:space="preserve">Le Groupe a engagé depuis plusieurs années une politique de modernisation de son infrastructure de</w:t>
      </w:r>
      <w:r>
        <w:t xml:space="preserve"> </w:t>
      </w:r>
      <w:r>
        <w:t xml:space="preserve">gestion afin d’offrir un service attractif, réactif et sécurisé à ses clients particuliers, professionnels et</w:t>
      </w:r>
      <w:r>
        <w:t xml:space="preserve"> </w:t>
      </w:r>
      <w:r>
        <w:t xml:space="preserve">privés, tout en répondant aux exigences croissantes du superviseur bancaire.</w:t>
      </w:r>
    </w:p>
    <w:bookmarkEnd w:id="33"/>
    <w:bookmarkStart w:id="34" w:name="à-propos-de-khs-bank"/>
    <w:p>
      <w:pPr>
        <w:pStyle w:val="Heading4"/>
      </w:pPr>
      <w:r>
        <w:t xml:space="preserve">1.3 À propos de KHS Bank</w:t>
      </w:r>
    </w:p>
    <w:p>
      <w:pPr>
        <w:pStyle w:val="FirstParagraph"/>
      </w:pPr>
      <w:r>
        <w:t xml:space="preserve">KHS Bank est un établissement bancaire de taille intermédiaire proposant des services de banque de</w:t>
      </w:r>
      <w:r>
        <w:t xml:space="preserve"> </w:t>
      </w:r>
      <w:r>
        <w:t xml:space="preserve">détail, de banque des professionnels et de gestion de patrimoine (banque privée). L’établissement</w:t>
      </w:r>
      <w:r>
        <w:t xml:space="preserve"> </w:t>
      </w:r>
      <w:r>
        <w:t xml:space="preserve">s’appuie sur trois pôles d’activité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Banque de détail</w:t>
      </w:r>
      <w:r>
        <w:t xml:space="preserve"> </w:t>
      </w:r>
      <w:r>
        <w:t xml:space="preserve">: comptes courants, épargne, crédits immobiliers et à la consommation pour les</w:t>
      </w:r>
      <w:r>
        <w:t xml:space="preserve"> </w:t>
      </w:r>
      <w:r>
        <w:t xml:space="preserve">particuliers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Banque des professionnels et entreprises</w:t>
      </w:r>
      <w:r>
        <w:t xml:space="preserve"> </w:t>
      </w:r>
      <w:r>
        <w:t xml:space="preserve">: financement, gestion de trésorerie, moyens de paiement 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Gestion de patrimoine / banque privée</w:t>
      </w:r>
      <w:r>
        <w:t xml:space="preserve"> </w:t>
      </w:r>
      <w:r>
        <w:t xml:space="preserve">: conseil en investissement pour une clientèle exigeante en</w:t>
      </w:r>
      <w:r>
        <w:t xml:space="preserve"> </w:t>
      </w:r>
      <w:r>
        <w:t xml:space="preserve">matière de confidentialité et de disponibilité de service.</w:t>
      </w:r>
    </w:p>
    <w:p>
      <w:pPr>
        <w:pStyle w:val="FirstParagraph"/>
      </w:pPr>
      <w:r>
        <w:t xml:space="preserve">KHS Bank est agréée en tant qu’établissement de crédit par l’Autorité de Contrôle Prudentiel et de</w:t>
      </w:r>
      <w:r>
        <w:t xml:space="preserve"> </w:t>
      </w:r>
      <w:r>
        <w:t xml:space="preserve">Résolution (ACPR) et est soumise à ce titre à des obligations renforcées de sécurité, de traçabilité et de</w:t>
      </w:r>
      <w:r>
        <w:t xml:space="preserve"> </w:t>
      </w:r>
      <w:r>
        <w:t xml:space="preserve">continuité d’activité.</w:t>
      </w:r>
    </w:p>
    <w:bookmarkEnd w:id="34"/>
    <w:bookmarkStart w:id="35" w:name="contexte-dorigine"/>
    <w:p>
      <w:pPr>
        <w:pStyle w:val="Heading4"/>
      </w:pPr>
      <w:r>
        <w:t xml:space="preserve">1.4 Contexte d’origine</w:t>
      </w:r>
    </w:p>
    <w:p>
      <w:pPr>
        <w:pStyle w:val="FirstParagraph"/>
      </w:pPr>
      <w:r>
        <w:t xml:space="preserve">Depuis sa création en 2004, KHS Bank a connu une croissance régulière de son portefeuille clients et de</w:t>
      </w:r>
      <w:r>
        <w:t xml:space="preserve"> </w:t>
      </w:r>
      <w:r>
        <w:t xml:space="preserve">son produit net bancaire. Afin de conserver sa compétitivité et sa conformité réglementaire, KHS Bank</w:t>
      </w:r>
      <w:r>
        <w:t xml:space="preserve"> </w:t>
      </w:r>
      <w:r>
        <w:t xml:space="preserve">dispose d’un budget annuel de</w:t>
      </w:r>
      <w:r>
        <w:t xml:space="preserve"> </w:t>
      </w:r>
      <w:r>
        <w:rPr>
          <w:bCs/>
          <w:b/>
        </w:rPr>
        <w:t xml:space="preserve">14 000 000 €</w:t>
      </w:r>
      <w:r>
        <w:t xml:space="preserve"> </w:t>
      </w:r>
      <w:r>
        <w:t xml:space="preserve">destiné à la maintenance et à l’évolution de son système</w:t>
      </w:r>
      <w:r>
        <w:t xml:space="preserve"> </w:t>
      </w:r>
      <w:r>
        <w:t xml:space="preserve">d’information. La société dispose d’un</w:t>
      </w:r>
      <w:r>
        <w:t xml:space="preserve"> </w:t>
      </w:r>
      <w:r>
        <w:rPr>
          <w:bCs/>
          <w:b/>
        </w:rPr>
        <w:t xml:space="preserve">siège social à Paris La Défense</w:t>
      </w:r>
      <w:r>
        <w:t xml:space="preserve"> </w:t>
      </w:r>
      <w:r>
        <w:t xml:space="preserve">et d’un</w:t>
      </w:r>
      <w:r>
        <w:t xml:space="preserve"> </w:t>
      </w:r>
      <w:r>
        <w:rPr>
          <w:bCs/>
          <w:b/>
        </w:rPr>
        <w:t xml:space="preserve">site secondaire à Lyon</w:t>
      </w:r>
      <w:r>
        <w:t xml:space="preserve"> </w:t>
      </w:r>
      <w:r>
        <w:t xml:space="preserve">(centre de back-office et plateforme téléphonique clients), qui doit pouvoir accéder en permanence aux</w:t>
      </w:r>
      <w:r>
        <w:t xml:space="preserve"> </w:t>
      </w:r>
      <w:r>
        <w:t xml:space="preserve">ressources du siège.</w:t>
      </w:r>
    </w:p>
    <w:p>
      <w:pPr>
        <w:pStyle w:val="BodyText"/>
      </w:pPr>
      <w:r>
        <w:t xml:space="preserve">Depuis 2019, consciente de la vétusté de son SI et des risques croissants en matière de cybersécurité</w:t>
      </w:r>
      <w:r>
        <w:t xml:space="preserve"> </w:t>
      </w:r>
      <w:r>
        <w:t xml:space="preserve">(le secteur bancaire étant une cible privilégiée des attaques), la direction a engagé une réflexion sur la</w:t>
      </w:r>
      <w:r>
        <w:t xml:space="preserve"> </w:t>
      </w:r>
      <w:r>
        <w:t xml:space="preserve">modernisation de son SI sans parvenir, faute de compétences internes suffisantes, à statuer sur les</w:t>
      </w:r>
      <w:r>
        <w:t xml:space="preserve"> </w:t>
      </w:r>
      <w:r>
        <w:t xml:space="preserve">actions nécessaires. Il a donc été décidé de confier cette migration à un prestataire externe spécialisé,</w:t>
      </w:r>
      <w:r>
        <w:t xml:space="preserve"> </w:t>
      </w:r>
      <w:r>
        <w:t xml:space="preserve">aussi bien sur les environnements utilisateurs que serveurs, réseau et sécurité.</w:t>
      </w:r>
    </w:p>
    <w:p>
      <w:pPr>
        <w:pStyle w:val="BodyText"/>
      </w:pPr>
      <w:r>
        <w:t xml:space="preserve">La société compte environ</w:t>
      </w:r>
      <w:r>
        <w:t xml:space="preserve"> </w:t>
      </w:r>
      <w:r>
        <w:rPr>
          <w:bCs/>
          <w:b/>
        </w:rPr>
        <w:t xml:space="preserve">780 utilisateurs</w:t>
      </w:r>
      <w:r>
        <w:t xml:space="preserve"> </w:t>
      </w:r>
      <w:r>
        <w:t xml:space="preserve">répartis dans les différents services du siège (répartis dans</w:t>
      </w:r>
      <w:r>
        <w:t xml:space="preserve"> </w:t>
      </w:r>
      <w:r>
        <w:t xml:space="preserve">le même immeuble), et environ</w:t>
      </w:r>
      <w:r>
        <w:t xml:space="preserve"> </w:t>
      </w:r>
      <w:r>
        <w:rPr>
          <w:bCs/>
          <w:b/>
        </w:rPr>
        <w:t xml:space="preserve">140 utilisateurs</w:t>
      </w:r>
      <w:r>
        <w:t xml:space="preserve"> </w:t>
      </w:r>
      <w:r>
        <w:t xml:space="preserve">sur le site secondaire de Lyon.</w:t>
      </w:r>
    </w:p>
    <w:bookmarkEnd w:id="35"/>
    <w:bookmarkStart w:id="36" w:name="les-contraintes-principales"/>
    <w:p>
      <w:pPr>
        <w:pStyle w:val="Heading4"/>
      </w:pPr>
      <w:r>
        <w:t xml:space="preserve">1.5 Les contraintes principales</w:t>
      </w:r>
    </w:p>
    <w:p>
      <w:pPr>
        <w:pStyle w:val="FirstParagraph"/>
      </w:pPr>
      <w:r>
        <w:t xml:space="preserve">KHS Bank est attachée à la démarche</w:t>
      </w:r>
      <w:r>
        <w:t xml:space="preserve"> </w:t>
      </w:r>
      <w:r>
        <w:rPr>
          <w:bCs/>
          <w:b/>
        </w:rPr>
        <w:t xml:space="preserve">ITIL</w:t>
      </w:r>
      <w:r>
        <w:t xml:space="preserve"> </w:t>
      </w:r>
      <w:r>
        <w:t xml:space="preserve">; tous les services sont organisés par rapport au référentiel de</w:t>
      </w:r>
      <w:r>
        <w:t xml:space="preserve"> </w:t>
      </w:r>
      <w:r>
        <w:t xml:space="preserve">la version 4. Toute la démarche projet du prestataire devra donc s’appuyer sur ce référentiel et en</w:t>
      </w:r>
      <w:r>
        <w:t xml:space="preserve"> </w:t>
      </w:r>
      <w:r>
        <w:t xml:space="preserve">respecter les préconisations.</w:t>
      </w:r>
    </w:p>
    <w:p>
      <w:pPr>
        <w:pStyle w:val="BodyText"/>
      </w:pPr>
      <w:r>
        <w:t xml:space="preserve">Le prestataire devra en outre justifier de toutes les technologies utilisées et démontrer leur conformité</w:t>
      </w:r>
      <w:r>
        <w:t xml:space="preserve"> </w:t>
      </w:r>
      <w:r>
        <w:t xml:space="preserve">avec les exigences réglementaires du secteur bancaire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RGPD</w:t>
      </w:r>
      <w:r>
        <w:t xml:space="preserve"> </w:t>
      </w:r>
      <w:r>
        <w:t xml:space="preserve">(Règlement Général sur la Protection des Données)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Recommandations ACPR/Banque de France</w:t>
      </w:r>
      <w:r>
        <w:t xml:space="preserve"> </w:t>
      </w:r>
      <w:r>
        <w:t xml:space="preserve">en matière de sécurité des systèmes d’information et de</w:t>
      </w:r>
      <w:r>
        <w:t xml:space="preserve"> </w:t>
      </w:r>
      <w:r>
        <w:t xml:space="preserve">plan de continuité d’activité (les interruptions de service sur les moyens de paiement sont</w:t>
      </w:r>
      <w:r>
        <w:t xml:space="preserve"> </w:t>
      </w:r>
      <w:r>
        <w:t xml:space="preserve">particulièrement surveillées)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DSP2</w:t>
      </w:r>
      <w:r>
        <w:t xml:space="preserve"> </w:t>
      </w:r>
      <w:r>
        <w:t xml:space="preserve">(Directive sur les Services de Paiement 2) et exigences d’authentification forte du client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Norme PCI-DSS</w:t>
      </w:r>
      <w:r>
        <w:t xml:space="preserve"> </w:t>
      </w:r>
      <w:r>
        <w:t xml:space="preserve">pour toute donnée relative aux cartes de paiement 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Secret bancaire</w:t>
      </w:r>
      <w:r>
        <w:t xml:space="preserve"> </w:t>
      </w:r>
      <w:r>
        <w:t xml:space="preserve">et cloisonnement strict des données clients.</w:t>
      </w:r>
    </w:p>
    <w:bookmarkEnd w:id="36"/>
    <w:bookmarkStart w:id="37" w:name="infrastructure-existante"/>
    <w:p>
      <w:pPr>
        <w:pStyle w:val="Heading4"/>
      </w:pPr>
      <w:r>
        <w:t xml:space="preserve">1.6 Infrastructure existante</w:t>
      </w:r>
    </w:p>
    <w:p>
      <w:pPr>
        <w:pStyle w:val="FirstParagraph"/>
      </w:pPr>
      <w:r>
        <w:t xml:space="preserve">Au niveau des services réseau, l’infrastructure actuelle dispose de :</w:t>
      </w:r>
    </w:p>
    <w:p>
      <w:pPr>
        <w:numPr>
          <w:ilvl w:val="0"/>
          <w:numId w:val="1009"/>
        </w:numPr>
        <w:pStyle w:val="Compact"/>
      </w:pPr>
      <w:r>
        <w:t xml:space="preserve">Connexions VPN permettant la communication entre le siège et le site de Lyon. Ces connexions</w:t>
      </w:r>
      <w:r>
        <w:t xml:space="preserve"> </w:t>
      </w:r>
      <w:r>
        <w:t xml:space="preserve">permettent actuellement l’accès à l’annuaire Active Directory, à la messagerie, au serveur de fichiers et</w:t>
      </w:r>
      <w:r>
        <w:t xml:space="preserve"> </w:t>
      </w:r>
      <w:r>
        <w:t xml:space="preserve">à l’application métier</w:t>
      </w:r>
      <w:r>
        <w:t xml:space="preserve"> </w:t>
      </w:r>
      <w:r>
        <w:rPr>
          <w:bCs/>
          <w:b/>
        </w:rPr>
        <w:t xml:space="preserve">KHS-Core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Base de données utilisateurs</w:t>
      </w:r>
      <w:r>
        <w:t xml:space="preserve"> </w:t>
      </w:r>
      <w:r>
        <w:rPr>
          <w:bCs/>
          <w:b/>
        </w:rPr>
        <w:t xml:space="preserve">SQL Server 2012</w:t>
      </w:r>
      <w:r>
        <w:t xml:space="preserve">, environnement</w:t>
      </w:r>
      <w:r>
        <w:t xml:space="preserve"> </w:t>
      </w:r>
      <w:r>
        <w:rPr>
          <w:bCs/>
          <w:b/>
        </w:rPr>
        <w:t xml:space="preserve">Windows Active Directory 2016</w:t>
      </w:r>
      <w:r>
        <w:t xml:space="preserve"> </w:t>
      </w:r>
      <w:r>
        <w:t xml:space="preserve">(présent au siège et à Lyon).</w:t>
      </w:r>
    </w:p>
    <w:p>
      <w:pPr>
        <w:numPr>
          <w:ilvl w:val="0"/>
          <w:numId w:val="1009"/>
        </w:numPr>
        <w:pStyle w:val="Compact"/>
      </w:pPr>
      <w:r>
        <w:t xml:space="preserve">Services : DNS, DHCP, routage, pare-feu, accès Internet, partages fichiers.</w:t>
      </w:r>
    </w:p>
    <w:p>
      <w:pPr>
        <w:numPr>
          <w:ilvl w:val="0"/>
          <w:numId w:val="1009"/>
        </w:numPr>
        <w:pStyle w:val="Compact"/>
      </w:pPr>
      <w:r>
        <w:t xml:space="preserve">Système de messagerie</w:t>
      </w:r>
      <w:r>
        <w:t xml:space="preserve"> </w:t>
      </w:r>
      <w:r>
        <w:rPr>
          <w:bCs/>
          <w:b/>
        </w:rPr>
        <w:t xml:space="preserve">Exchange 2013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Services web : portail intranet et espace client (extranet) associés à une base de données dédiée.</w:t>
      </w:r>
    </w:p>
    <w:p>
      <w:pPr>
        <w:numPr>
          <w:ilvl w:val="0"/>
          <w:numId w:val="1009"/>
        </w:numPr>
        <w:pStyle w:val="Compact"/>
      </w:pPr>
      <w:r>
        <w:t xml:space="preserve">Serveur d’application métier :</w:t>
      </w:r>
      <w:r>
        <w:t xml:space="preserve"> </w:t>
      </w:r>
      <w:r>
        <w:rPr>
          <w:bCs/>
          <w:b/>
        </w:rPr>
        <w:t xml:space="preserve">KHS-Core</w:t>
      </w:r>
      <w:r>
        <w:t xml:space="preserve">, progiciel bancaire reposant sur une base de données</w:t>
      </w:r>
      <w:r>
        <w:t xml:space="preserve"> </w:t>
      </w:r>
      <w:r>
        <w:rPr>
          <w:bCs/>
          <w:b/>
        </w:rPr>
        <w:t xml:space="preserve">SQL Server 2012</w:t>
      </w:r>
      <w:r>
        <w:t xml:space="preserve">, hébergeant la gestion des comptes, des opérations et des moyens de paiement.</w:t>
      </w:r>
    </w:p>
    <w:p>
      <w:pPr>
        <w:numPr>
          <w:ilvl w:val="0"/>
          <w:numId w:val="1009"/>
        </w:numPr>
        <w:pStyle w:val="Compact"/>
      </w:pPr>
      <w:r>
        <w:t xml:space="preserve">Les ordinateurs (postes fixes et portables) sont issus de configurations hétérogènes, déployées de</w:t>
      </w:r>
      <w:r>
        <w:t xml:space="preserve"> </w:t>
      </w:r>
      <w:r>
        <w:t xml:space="preserve">manière disparate selon les services.</w:t>
      </w:r>
    </w:p>
    <w:p>
      <w:pPr>
        <w:numPr>
          <w:ilvl w:val="0"/>
          <w:numId w:val="1009"/>
        </w:numPr>
        <w:pStyle w:val="Compact"/>
      </w:pPr>
      <w:r>
        <w:t xml:space="preserve">L’environnement des utilisateurs est basé sur</w:t>
      </w:r>
      <w:r>
        <w:t xml:space="preserve"> </w:t>
      </w:r>
      <w:r>
        <w:rPr>
          <w:bCs/>
          <w:b/>
        </w:rPr>
        <w:t xml:space="preserve">Windows 8</w:t>
      </w:r>
      <w:r>
        <w:t xml:space="preserve"> </w:t>
      </w:r>
      <w:r>
        <w:t xml:space="preserve">pour les postes les plus récents ; la suite</w:t>
      </w:r>
      <w:r>
        <w:t xml:space="preserve"> </w:t>
      </w:r>
      <w:r>
        <w:rPr>
          <w:bCs/>
          <w:b/>
        </w:rPr>
        <w:t xml:space="preserve">Office 2007/2010/2011</w:t>
      </w:r>
      <w:r>
        <w:t xml:space="preserve"> </w:t>
      </w:r>
      <w:r>
        <w:t xml:space="preserve">cohabite selon les services.</w:t>
      </w:r>
    </w:p>
    <w:p>
      <w:pPr>
        <w:pStyle w:val="FirstParagraph"/>
      </w:pPr>
      <w:r>
        <w:t xml:space="preserve">Les serveurs du SI : deux serveurs Linux hébergent les applications de gestion administrative, la gestion</w:t>
      </w:r>
      <w:r>
        <w:t xml:space="preserve"> </w:t>
      </w:r>
      <w:r>
        <w:t xml:space="preserve">économique et financière, la paye et des bases de données Oracle. Un serveur de fichiers sous</w:t>
      </w:r>
      <w:r>
        <w:t xml:space="preserve"> </w:t>
      </w:r>
      <w:r>
        <w:rPr>
          <w:bCs/>
          <w:b/>
        </w:rPr>
        <w:t xml:space="preserve">Windows Server 2016</w:t>
      </w:r>
      <w:r>
        <w:t xml:space="preserve"> </w:t>
      </w:r>
      <w:r>
        <w:t xml:space="preserve">héberge les répertoires personnels et les partages communs. Une dizaine de</w:t>
      </w:r>
      <w:r>
        <w:t xml:space="preserve"> </w:t>
      </w:r>
      <w:r>
        <w:t xml:space="preserve">serveurs rack hébergent la messagerie, les applications web et les bases de données métier. L’ensemble</w:t>
      </w:r>
      <w:r>
        <w:t xml:space="preserve"> </w:t>
      </w:r>
      <w:r>
        <w:t xml:space="preserve">des données est stocké sur une seule baie de stockage. Les sauvegardes sont réalisées par deux robots</w:t>
      </w:r>
      <w:r>
        <w:t xml:space="preserve"> </w:t>
      </w:r>
      <w:r>
        <w:t xml:space="preserve">de sauvegarde, les bandes étant conservées dans les sous-sols du siège — configuration jugée</w:t>
      </w:r>
      <w:r>
        <w:t xml:space="preserve"> </w:t>
      </w:r>
      <w:r>
        <w:t xml:space="preserve">insuffisante au regard des exigences de continuité d’activité imposées à un établissement bancaire.</w:t>
      </w:r>
    </w:p>
    <w:p>
      <w:pPr>
        <w:pStyle w:val="BodyText"/>
      </w:pPr>
      <w:r>
        <w:t xml:space="preserve">Postes de travail : environ</w:t>
      </w:r>
      <w:r>
        <w:t xml:space="preserve"> </w:t>
      </w:r>
      <w:r>
        <w:rPr>
          <w:bCs/>
          <w:b/>
        </w:rPr>
        <w:t xml:space="preserve">920 postes</w:t>
      </w:r>
      <w:r>
        <w:t xml:space="preserve"> </w:t>
      </w:r>
      <w:r>
        <w:t xml:space="preserve">(fixes et portables), système d’exploitation Windows 8, suites</w:t>
      </w:r>
      <w:r>
        <w:t xml:space="preserve"> </w:t>
      </w:r>
      <w:r>
        <w:t xml:space="preserve">bureautiques hétérogènes (Office 2016, Office 2011 Mac, Open Office), navigateurs Internet Explorer 7 et</w:t>
      </w:r>
      <w:r>
        <w:t xml:space="preserve"> </w:t>
      </w:r>
      <w:r>
        <w:t xml:space="preserve">9. Achats étalés entre 2007 et 2017.</w:t>
      </w:r>
    </w:p>
    <w:p>
      <w:pPr>
        <w:pStyle w:val="BodyText"/>
      </w:pPr>
      <w:r>
        <w:t xml:space="preserve">Réseau : architecture à trois niveaux faiblement redondante. L’ensemble des plateaux du siège est</w:t>
      </w:r>
      <w:r>
        <w:t xml:space="preserve"> </w:t>
      </w:r>
      <w:r>
        <w:t xml:space="preserve">interconnecté en réseau local Ethernet mixte (liens 100 Base TX, backbone 1000 Base TX). Les deux</w:t>
      </w:r>
      <w:r>
        <w:t xml:space="preserve"> </w:t>
      </w:r>
      <w:r>
        <w:t xml:space="preserve">sites sont connectés via une solution VPN unique, sans lien de secours.</w:t>
      </w:r>
    </w:p>
    <w:bookmarkEnd w:id="37"/>
    <w:bookmarkEnd w:id="38"/>
    <w:bookmarkStart w:id="43" w:name="X52aba07d08d98d923b7b9d6ed338e3bf6ccf5c8"/>
    <w:p>
      <w:pPr>
        <w:pStyle w:val="Heading3"/>
      </w:pPr>
      <w:r>
        <w:t xml:space="preserve">2. Opportunité du projet et actions attendues</w:t>
      </w:r>
    </w:p>
    <w:p>
      <w:pPr>
        <w:pStyle w:val="FirstParagraph"/>
      </w:pPr>
      <w:r>
        <w:t xml:space="preserve">Il a été décidé de refondre l’ensemble du SI et d’en fiabiliser l’organisation lors d’une action unique</w:t>
      </w:r>
      <w:r>
        <w:t xml:space="preserve"> </w:t>
      </w:r>
      <w:r>
        <w:t xml:space="preserve">confiée à un prestataire externe spécialisé en intelligence artificielle, cloud et cybersécurité — domaines</w:t>
      </w:r>
      <w:r>
        <w:t xml:space="preserve"> </w:t>
      </w:r>
      <w:r>
        <w:t xml:space="preserve">jugés stratégiques par la direction pour répondre à la fois aux enjeux de fraude, de résilience et de</w:t>
      </w:r>
      <w:r>
        <w:t xml:space="preserve"> </w:t>
      </w:r>
      <w:r>
        <w:t xml:space="preserve">compétitivité digitale.</w:t>
      </w:r>
    </w:p>
    <w:bookmarkStart w:id="39" w:name="redondances"/>
    <w:p>
      <w:pPr>
        <w:pStyle w:val="Heading4"/>
      </w:pPr>
      <w:r>
        <w:t xml:space="preserve">2.1 Redondances</w:t>
      </w:r>
    </w:p>
    <w:p>
      <w:pPr>
        <w:pStyle w:val="FirstParagraph"/>
      </w:pPr>
      <w:r>
        <w:t xml:space="preserve">D’anciens serveurs locaux sont toujours en activité sur le site de Lyon ; personne ne souhaite les</w:t>
      </w:r>
      <w:r>
        <w:t xml:space="preserve"> </w:t>
      </w:r>
      <w:r>
        <w:t xml:space="preserve">débrancher, faute de documentation sur leur usage réel.</w:t>
      </w:r>
    </w:p>
    <w:bookmarkEnd w:id="39"/>
    <w:bookmarkStart w:id="40" w:name="congestion-et-latence"/>
    <w:p>
      <w:pPr>
        <w:pStyle w:val="Heading4"/>
      </w:pPr>
      <w:r>
        <w:t xml:space="preserve">2.2 Congestion et latence</w:t>
      </w:r>
    </w:p>
    <w:p>
      <w:pPr>
        <w:pStyle w:val="FirstParagraph"/>
      </w:pPr>
      <w:r>
        <w:t xml:space="preserve">Une équipe du site de Lyon a mis en place un partage de fichiers « sauvage », échappant à la gestion</w:t>
      </w:r>
      <w:r>
        <w:t xml:space="preserve"> </w:t>
      </w:r>
      <w:r>
        <w:t xml:space="preserve">centrale et générant des coûts cachés et des risques de sécurité. Les utilisateurs constatent un temps de</w:t>
      </w:r>
      <w:r>
        <w:t xml:space="preserve"> </w:t>
      </w:r>
      <w:r>
        <w:t xml:space="preserve">latence important au démarrage des postes puis tout au long de la journée ; à certains moments, seules</w:t>
      </w:r>
      <w:r>
        <w:t xml:space="preserve"> </w:t>
      </w:r>
      <w:r>
        <w:t xml:space="preserve">les applications de gestion financière et la téléphonie restent disponibles.</w:t>
      </w:r>
    </w:p>
    <w:bookmarkEnd w:id="40"/>
    <w:bookmarkStart w:id="41" w:name="dysfonctionnements"/>
    <w:p>
      <w:pPr>
        <w:pStyle w:val="Heading4"/>
      </w:pPr>
      <w:r>
        <w:t xml:space="preserve">2.3 Dysfonctionnements</w:t>
      </w:r>
    </w:p>
    <w:p>
      <w:pPr>
        <w:pStyle w:val="FirstParagraph"/>
      </w:pPr>
      <w:r>
        <w:t xml:space="preserve">La coexistence de versions différentes des suites bureautiques pose des problèmes de compatibilité sur</w:t>
      </w:r>
      <w:r>
        <w:t xml:space="preserve"> </w:t>
      </w:r>
      <w:r>
        <w:t xml:space="preserve">d’anciens fichiers Excel utilisés pour des modèles de simulation financière. Les pertes de fichiers, rares</w:t>
      </w:r>
      <w:r>
        <w:t xml:space="preserve"> </w:t>
      </w:r>
      <w:r>
        <w:t xml:space="preserve">avant 2010, se banalisent. L’utilisation de systèmes et logiciels obsolètes expose l’établissement à des</w:t>
      </w:r>
      <w:r>
        <w:t xml:space="preserve"> </w:t>
      </w:r>
      <w:r>
        <w:t xml:space="preserve">failles de sécurité critiques ; le non-respect des exigences RGPD et des recommandations ACPR</w:t>
      </w:r>
      <w:r>
        <w:t xml:space="preserve"> </w:t>
      </w:r>
      <w:r>
        <w:t xml:space="preserve">exposerait KHS Bank à de lourdes sanctions financières et réputationnelles.</w:t>
      </w:r>
    </w:p>
    <w:bookmarkEnd w:id="41"/>
    <w:bookmarkStart w:id="42" w:name="divers"/>
    <w:p>
      <w:pPr>
        <w:pStyle w:val="Heading4"/>
      </w:pPr>
      <w:r>
        <w:t xml:space="preserve">2.4 Divers</w:t>
      </w:r>
    </w:p>
    <w:p>
      <w:pPr>
        <w:pStyle w:val="FirstParagraph"/>
      </w:pPr>
      <w:r>
        <w:t xml:space="preserve">Certains collaborateurs contournent la lenteur du réseau en se connectant via smartphone en 4G, sur des</w:t>
      </w:r>
      <w:r>
        <w:t xml:space="preserve"> </w:t>
      </w:r>
      <w:r>
        <w:t xml:space="preserve">partages temporaires non sauvegardés (FTP), au détriment de la traçabilité exigée en environnement</w:t>
      </w:r>
      <w:r>
        <w:t xml:space="preserve"> </w:t>
      </w:r>
      <w:r>
        <w:t xml:space="preserve">bancaire.</w:t>
      </w:r>
    </w:p>
    <w:bookmarkEnd w:id="42"/>
    <w:bookmarkEnd w:id="43"/>
    <w:bookmarkStart w:id="45" w:name="besoins-et-attentes"/>
    <w:p>
      <w:pPr>
        <w:pStyle w:val="Heading3"/>
      </w:pPr>
      <w:r>
        <w:t xml:space="preserve">3. Besoins et attentes</w:t>
      </w:r>
    </w:p>
    <w:p>
      <w:pPr>
        <w:pStyle w:val="FirstParagraph"/>
      </w:pPr>
      <w:r>
        <w:t xml:space="preserve">Face à cette situation, une analyse globale du SI est nécessaire, dans le strict respect de la législation sur</w:t>
      </w:r>
      <w:r>
        <w:t xml:space="preserve"> </w:t>
      </w:r>
      <w:r>
        <w:t xml:space="preserve">la protection des données et du secret bancaire. Le prestataire retenu devra :</w:t>
      </w:r>
    </w:p>
    <w:p>
      <w:pPr>
        <w:numPr>
          <w:ilvl w:val="0"/>
          <w:numId w:val="1010"/>
        </w:numPr>
        <w:pStyle w:val="Compact"/>
      </w:pPr>
      <w:r>
        <w:t xml:space="preserve">identifier ce qui est en place et les causes de dysfonctionnements ;</w:t>
      </w:r>
    </w:p>
    <w:p>
      <w:pPr>
        <w:numPr>
          <w:ilvl w:val="0"/>
          <w:numId w:val="1010"/>
        </w:numPr>
        <w:pStyle w:val="Compact"/>
      </w:pPr>
      <w:r>
        <w:t xml:space="preserve">proposer un diagnostic global et des solutions d’amélioration ;</w:t>
      </w:r>
    </w:p>
    <w:p>
      <w:pPr>
        <w:numPr>
          <w:ilvl w:val="0"/>
          <w:numId w:val="1010"/>
        </w:numPr>
        <w:pStyle w:val="Compact"/>
      </w:pPr>
      <w:r>
        <w:t xml:space="preserve">refondre, si nécessaire, l’architecture physique et logique de tout ou partie du SI ;</w:t>
      </w:r>
    </w:p>
    <w:p>
      <w:pPr>
        <w:numPr>
          <w:ilvl w:val="0"/>
          <w:numId w:val="1010"/>
        </w:numPr>
        <w:pStyle w:val="Compact"/>
      </w:pPr>
      <w:r>
        <w:t xml:space="preserve">proposer le remplacement/la mise à jour du matériel non performant ;</w:t>
      </w:r>
    </w:p>
    <w:p>
      <w:pPr>
        <w:numPr>
          <w:ilvl w:val="0"/>
          <w:numId w:val="1010"/>
        </w:numPr>
        <w:pStyle w:val="Compact"/>
      </w:pPr>
      <w:r>
        <w:t xml:space="preserve">réaliser un audit de sécurité après mise en place de la nouvelle infrastructure ;</w:t>
      </w:r>
    </w:p>
    <w:p>
      <w:pPr>
        <w:numPr>
          <w:ilvl w:val="0"/>
          <w:numId w:val="1010"/>
        </w:numPr>
        <w:pStyle w:val="Compact"/>
      </w:pPr>
      <w:r>
        <w:t xml:space="preserve">diminuer les coûts de fonctionnement et fiabiliser le SI en conformité avec les réglementations</w:t>
      </w:r>
      <w:r>
        <w:t xml:space="preserve"> </w:t>
      </w:r>
      <w:r>
        <w:t xml:space="preserve">bancaires et la sécurité des données, tout en augmentant la productivité, en particulier en situation de</w:t>
      </w:r>
      <w:r>
        <w:t xml:space="preserve"> </w:t>
      </w:r>
      <w:r>
        <w:t xml:space="preserve">crise (plan de continuité d’activité).</w:t>
      </w:r>
    </w:p>
    <w:bookmarkStart w:id="44" w:name="actions-attendues"/>
    <w:p>
      <w:pPr>
        <w:pStyle w:val="Heading4"/>
      </w:pPr>
      <w:r>
        <w:t xml:space="preserve">3.1 Actions attendues</w:t>
      </w:r>
    </w:p>
    <w:p>
      <w:pPr>
        <w:pStyle w:val="FirstParagraph"/>
      </w:pPr>
      <w:r>
        <w:t xml:space="preserve">Le prestataire devra fournir une description détaillée de son intervention en termes de coûts, de délais</w:t>
      </w:r>
      <w:r>
        <w:t xml:space="preserve"> </w:t>
      </w:r>
      <w:r>
        <w:t xml:space="preserve">et de gains de performance, et se conformer au formalisme de gestion de projet suivant :</w:t>
      </w:r>
    </w:p>
    <w:p>
      <w:pPr>
        <w:numPr>
          <w:ilvl w:val="0"/>
          <w:numId w:val="1011"/>
        </w:numPr>
        <w:pStyle w:val="Compact"/>
      </w:pPr>
      <w:r>
        <w:t xml:space="preserve">équipe projet composée de deux sous-équipes :</w:t>
      </w:r>
      <w:r>
        <w:t xml:space="preserve"> </w:t>
      </w:r>
      <w:r>
        <w:rPr>
          <w:bCs/>
          <w:b/>
        </w:rPr>
        <w:t xml:space="preserve">Équipe Architecture Système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Équipe Réseau &amp;</w:t>
      </w:r>
      <w:r>
        <w:rPr>
          <w:bCs/>
          <w:b/>
        </w:rPr>
        <w:t xml:space="preserve"> </w:t>
      </w:r>
      <w:r>
        <w:rPr>
          <w:bCs/>
          <w:b/>
        </w:rPr>
        <w:t xml:space="preserve">Sécurité</w:t>
      </w:r>
      <w:r>
        <w:t xml:space="preserve"> 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identification et nomination de l’instance de pilotage ;</w:t>
      </w:r>
    </w:p>
    <w:p>
      <w:pPr>
        <w:numPr>
          <w:ilvl w:val="0"/>
          <w:numId w:val="1011"/>
        </w:numPr>
        <w:pStyle w:val="Compact"/>
      </w:pPr>
      <w:r>
        <w:t xml:space="preserve">analyse des principaux risques ;</w:t>
      </w:r>
    </w:p>
    <w:p>
      <w:pPr>
        <w:numPr>
          <w:ilvl w:val="0"/>
          <w:numId w:val="1011"/>
        </w:numPr>
        <w:pStyle w:val="Compact"/>
      </w:pPr>
      <w:r>
        <w:t xml:space="preserve">définition des indicateurs de suivi du projet ;</w:t>
      </w:r>
    </w:p>
    <w:p>
      <w:pPr>
        <w:numPr>
          <w:ilvl w:val="0"/>
          <w:numId w:val="1011"/>
        </w:numPr>
        <w:pStyle w:val="Compact"/>
      </w:pPr>
      <w:r>
        <w:t xml:space="preserve">définition de la stratégie d’accompagnement des populations impactées ;</w:t>
      </w:r>
    </w:p>
    <w:p>
      <w:pPr>
        <w:numPr>
          <w:ilvl w:val="0"/>
          <w:numId w:val="1011"/>
        </w:numPr>
        <w:pStyle w:val="Compact"/>
      </w:pPr>
      <w:r>
        <w:t xml:space="preserve">plan de formation des utilisateurs ;</w:t>
      </w:r>
    </w:p>
    <w:p>
      <w:pPr>
        <w:numPr>
          <w:ilvl w:val="0"/>
          <w:numId w:val="1011"/>
        </w:numPr>
        <w:pStyle w:val="Compact"/>
      </w:pPr>
      <w:r>
        <w:t xml:space="preserve">veille technologique en matière d’infrastructure, d’intelligence artificielle et de sécurité.</w:t>
      </w:r>
    </w:p>
    <w:bookmarkEnd w:id="44"/>
    <w:bookmarkEnd w:id="45"/>
    <w:bookmarkStart w:id="50" w:name="structure-des-réponses-et-lotissements"/>
    <w:p>
      <w:pPr>
        <w:pStyle w:val="Heading3"/>
      </w:pPr>
      <w:r>
        <w:t xml:space="preserve">4. Structure des réponses et lotissements</w:t>
      </w:r>
    </w:p>
    <w:bookmarkStart w:id="46" w:name="généralités"/>
    <w:p>
      <w:pPr>
        <w:pStyle w:val="Heading4"/>
      </w:pPr>
      <w:r>
        <w:t xml:space="preserve">4.1 Généralités</w:t>
      </w:r>
    </w:p>
    <w:p>
      <w:pPr>
        <w:pStyle w:val="FirstParagraph"/>
      </w:pPr>
      <w:r>
        <w:t xml:space="preserve">KHS Bank (Maître d’Ouvrage) recherche un prestataire unique (Maître d’Œuvre),</w:t>
      </w:r>
      <w:r>
        <w:t xml:space="preserve"> </w:t>
      </w:r>
      <w:r>
        <w:rPr>
          <w:bCs/>
          <w:b/>
        </w:rPr>
        <w:t xml:space="preserve">MOM-TECH</w:t>
      </w:r>
      <w:r>
        <w:t xml:space="preserve">, pour</w:t>
      </w:r>
      <w:r>
        <w:t xml:space="preserve"> </w:t>
      </w:r>
      <w:r>
        <w:t xml:space="preserve">l’aider à faire évoluer son système d’information et le rendre conforme aux performances et exigences</w:t>
      </w:r>
      <w:r>
        <w:t xml:space="preserve"> </w:t>
      </w:r>
      <w:r>
        <w:t xml:space="preserve">réglementaires attendues pour un établissement de cette taille.</w:t>
      </w:r>
    </w:p>
    <w:bookmarkEnd w:id="46"/>
    <w:bookmarkStart w:id="47" w:name="lots-principaux-lots-a-à-j"/>
    <w:p>
      <w:pPr>
        <w:pStyle w:val="Heading4"/>
      </w:pPr>
      <w:r>
        <w:t xml:space="preserve">4.2 Lots principaux (lots A à J)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A</w:t>
      </w:r>
      <w:r>
        <w:t xml:space="preserve"> </w:t>
      </w:r>
      <w:r>
        <w:t xml:space="preserve">: Architecture réseau (switches, routeurs, DMZ, accès distants…) et services DHCP/DNS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B</w:t>
      </w:r>
      <w:r>
        <w:t xml:space="preserve"> </w:t>
      </w:r>
      <w:r>
        <w:t xml:space="preserve">: Déploiement des postes clients (client léger, client lourd)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C</w:t>
      </w:r>
      <w:r>
        <w:t xml:space="preserve"> </w:t>
      </w:r>
      <w:r>
        <w:t xml:space="preserve">: Migration des logiciels de bureautique vers Office 365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D</w:t>
      </w:r>
      <w:r>
        <w:t xml:space="preserve"> </w:t>
      </w:r>
      <w:r>
        <w:t xml:space="preserve">: Solution antivirus/EDR centralisée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E</w:t>
      </w:r>
      <w:r>
        <w:t xml:space="preserve"> </w:t>
      </w:r>
      <w:r>
        <w:t xml:space="preserve">: Système de prévention d’intrusion (IDS/IPS)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F</w:t>
      </w:r>
      <w:r>
        <w:t xml:space="preserve"> </w:t>
      </w:r>
      <w:r>
        <w:t xml:space="preserve">: Audit de sécurité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G</w:t>
      </w:r>
      <w:r>
        <w:t xml:space="preserve"> </w:t>
      </w:r>
      <w:r>
        <w:t xml:space="preserve">: PRA / PCA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H</w:t>
      </w:r>
      <w:r>
        <w:t xml:space="preserve"> </w:t>
      </w:r>
      <w:r>
        <w:t xml:space="preserve">: Monitoring et ticketing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I</w:t>
      </w:r>
      <w:r>
        <w:t xml:space="preserve"> </w:t>
      </w:r>
      <w:r>
        <w:t xml:space="preserve">: Gestion de parc informatique et contrat de maintenance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Lot J</w:t>
      </w:r>
      <w:r>
        <w:t xml:space="preserve"> </w:t>
      </w:r>
      <w:r>
        <w:t xml:space="preserve">: Déploiements et mises à jour (OS et applications)</w:t>
      </w:r>
    </w:p>
    <w:bookmarkEnd w:id="47"/>
    <w:bookmarkStart w:id="48" w:name="lots-complémentaires-lots-1-à-6"/>
    <w:p>
      <w:pPr>
        <w:pStyle w:val="Heading4"/>
      </w:pPr>
      <w:r>
        <w:t xml:space="preserve">4.3 Lots complémentaires (lots 1 à 6)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1</w:t>
      </w:r>
      <w:r>
        <w:t xml:space="preserve"> </w:t>
      </w:r>
      <w:r>
        <w:t xml:space="preserve">: Stockage et sauvegarde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2</w:t>
      </w:r>
      <w:r>
        <w:t xml:space="preserve"> </w:t>
      </w:r>
      <w:r>
        <w:t xml:space="preserve">: Annuaire LDAP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3</w:t>
      </w:r>
      <w:r>
        <w:t xml:space="preserve"> </w:t>
      </w:r>
      <w:r>
        <w:t xml:space="preserve">: Virtualisation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4</w:t>
      </w:r>
      <w:r>
        <w:t xml:space="preserve"> </w:t>
      </w:r>
      <w:r>
        <w:t xml:space="preserve">: Messagerie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5</w:t>
      </w:r>
      <w:r>
        <w:t xml:space="preserve"> </w:t>
      </w:r>
      <w:r>
        <w:t xml:space="preserve">: Bases de données (applications métiers / outils collaboratifs)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Lot 6</w:t>
      </w:r>
      <w:r>
        <w:t xml:space="preserve"> </w:t>
      </w:r>
      <w:r>
        <w:t xml:space="preserve">: VOIP</w:t>
      </w:r>
    </w:p>
    <w:bookmarkEnd w:id="48"/>
    <w:bookmarkStart w:id="49" w:name="déploiements-obligation-de-moyens"/>
    <w:p>
      <w:pPr>
        <w:pStyle w:val="Heading4"/>
      </w:pPr>
      <w:r>
        <w:t xml:space="preserve">4.4 Déploiements — obligation de moyens</w:t>
      </w:r>
    </w:p>
    <w:p>
      <w:pPr>
        <w:pStyle w:val="FirstParagraph"/>
      </w:pPr>
      <w:r>
        <w:t xml:space="preserve">Le prestataire devra préciser les moyens dont il dispose pour garantir le respect des délais, minimiser</w:t>
      </w:r>
      <w:r>
        <w:t xml:space="preserve"> </w:t>
      </w:r>
      <w:r>
        <w:t xml:space="preserve">l’impact de l’évolution du SI sur l’activité bancaire (aucun arrêt total d’un service, en particulier des</w:t>
      </w:r>
      <w:r>
        <w:t xml:space="preserve"> </w:t>
      </w:r>
      <w:r>
        <w:t xml:space="preserve">moyens de paiement) et les délais moyens d’approvisionnement auprès de ses fournisseurs.</w:t>
      </w:r>
    </w:p>
    <w:bookmarkEnd w:id="49"/>
    <w:bookmarkEnd w:id="50"/>
    <w:bookmarkStart w:id="51" w:name="X50433907aac11a1317d7be974693a6c927b5ec7"/>
    <w:p>
      <w:pPr>
        <w:pStyle w:val="Heading3"/>
      </w:pPr>
      <w:r>
        <w:t xml:space="preserve">5. Examen de l’infrastructure du point de vue cybersécurité</w:t>
      </w:r>
    </w:p>
    <w:p>
      <w:pPr>
        <w:pStyle w:val="FirstParagraph"/>
      </w:pPr>
      <w:r>
        <w:t xml:space="preserve">Le prestataire devra examiner et mettre à jour les politiques et procédures de sécurité, l’architecture de</w:t>
      </w:r>
      <w:r>
        <w:t xml:space="preserve"> </w:t>
      </w:r>
      <w:r>
        <w:t xml:space="preserve">sécurité existante, les processus d’évaluation de vulnérabilité et de tests d’intrusion, la sécurité réseau</w:t>
      </w:r>
      <w:r>
        <w:t xml:space="preserve"> </w:t>
      </w:r>
      <w:r>
        <w:t xml:space="preserve">(pare-feu, IDS/IPS, segmentation, passerelle web et messagerie, proxy, DLP, gestion des correctifs, AV,</w:t>
      </w:r>
      <w:r>
        <w:t xml:space="preserve"> </w:t>
      </w:r>
      <w:r>
        <w:t xml:space="preserve">SIEM), et formuler des recommandations pour l’efficacité des contrôles de sécurité, avec une attention</w:t>
      </w:r>
      <w:r>
        <w:t xml:space="preserve"> </w:t>
      </w:r>
      <w:r>
        <w:t xml:space="preserve">particulière portée à la fraude et aux tentatives d’intrusion visant les systèmes de paiement.</w:t>
      </w:r>
    </w:p>
    <w:p>
      <w:pPr>
        <w:pStyle w:val="BodyText"/>
      </w:pPr>
      <w:r>
        <w:rPr>
          <w:bCs/>
          <w:b/>
        </w:rPr>
        <w:t xml:space="preserve">Livrables :</w:t>
      </w:r>
      <w:r>
        <w:t xml:space="preserve"> </w:t>
      </w:r>
      <w:r>
        <w:t xml:space="preserve">recommandations et modifications des politiques et procédures existantes ; rapport détaillé</w:t>
      </w:r>
      <w:r>
        <w:t xml:space="preserve"> </w:t>
      </w:r>
      <w:r>
        <w:t xml:space="preserve">avec plan d’action et mécanisme de reporting (tableau de bord).</w:t>
      </w:r>
    </w:p>
    <w:bookmarkEnd w:id="51"/>
    <w:bookmarkStart w:id="52" w:name="Xe5b3204e69514312ce87d5de36fd9500ce44408"/>
    <w:p>
      <w:pPr>
        <w:pStyle w:val="Heading3"/>
      </w:pPr>
      <w:r>
        <w:t xml:space="preserve">6. Préparation de la cybersecurity framework</w:t>
      </w:r>
    </w:p>
    <w:p>
      <w:pPr>
        <w:numPr>
          <w:ilvl w:val="0"/>
          <w:numId w:val="1014"/>
        </w:numPr>
        <w:pStyle w:val="Compact"/>
      </w:pPr>
      <w:r>
        <w:t xml:space="preserve">Préparation de la politique et des procédures de cybersécurité ;</w:t>
      </w:r>
    </w:p>
    <w:p>
      <w:pPr>
        <w:numPr>
          <w:ilvl w:val="0"/>
          <w:numId w:val="1014"/>
        </w:numPr>
        <w:pStyle w:val="Compact"/>
      </w:pPr>
      <w:r>
        <w:t xml:space="preserve">Préparation du plan de gestion de la cyber-crise dans le cadre de la politique de cybersécurité.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politique et procédures de cybersécurité ; plan de gestion de la cyber-crise ; changements</w:t>
      </w:r>
      <w:r>
        <w:t xml:space="preserve"> </w:t>
      </w:r>
      <w:r>
        <w:t xml:space="preserve">apportés aux politiques/procédures existantes.</w:t>
      </w:r>
    </w:p>
    <w:bookmarkEnd w:id="52"/>
    <w:bookmarkStart w:id="53" w:name="mise-en-place-du-soc"/>
    <w:p>
      <w:pPr>
        <w:pStyle w:val="Heading3"/>
      </w:pPr>
      <w:r>
        <w:t xml:space="preserve">7. Mise en place du SOC</w:t>
      </w:r>
    </w:p>
    <w:p>
      <w:pPr>
        <w:pStyle w:val="FirstParagraph"/>
      </w:pPr>
      <w:r>
        <w:t xml:space="preserve">Mise en place et intégration d’un SOC (Security Operations Center), avec exploitation d’un SIEM et, dans</w:t>
      </w:r>
      <w:r>
        <w:t xml:space="preserve"> </w:t>
      </w:r>
      <w:r>
        <w:t xml:space="preserve">la mesure du possible, de mécanismes de détection assistée par intelligence artificielle (détection</w:t>
      </w:r>
      <w:r>
        <w:t xml:space="preserve"> </w:t>
      </w:r>
      <w:r>
        <w:t xml:space="preserve">d’anomalies comportementales, lutte anti-fraude).</w:t>
      </w:r>
    </w:p>
    <w:p>
      <w:pPr>
        <w:pStyle w:val="BodyText"/>
      </w:pPr>
      <w:r>
        <w:rPr>
          <w:bCs/>
          <w:b/>
        </w:rPr>
        <w:t xml:space="preserve">Livrables :</w:t>
      </w:r>
      <w:r>
        <w:t xml:space="preserve"> </w:t>
      </w:r>
      <w:r>
        <w:t xml:space="preserve">architecture du SOC ; planning préliminaire de réalisation ; plan de test global ; plan de</w:t>
      </w:r>
      <w:r>
        <w:t xml:space="preserve"> </w:t>
      </w:r>
      <w:r>
        <w:t xml:space="preserve">formation ; contrat de support ; démonstration sur plateforme de test.</w:t>
      </w:r>
    </w:p>
    <w:bookmarkEnd w:id="53"/>
    <w:bookmarkEnd w:id="54"/>
    <w:bookmarkEnd w:id="55"/>
    <w:sectPr>
      <w:footerReference r:id="rId9" w:type="default"/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4"/>
      <w:szCs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8" Target="../03-gestion-de-projet/" TargetMode="External" /><Relationship Type="http://schemas.openxmlformats.org/officeDocument/2006/relationships/hyperlink" Id="rId20" Target="../04-audit-existant/" TargetMode="External" /><Relationship Type="http://schemas.openxmlformats.org/officeDocument/2006/relationships/hyperlink" Id="rId29" Target="../08-bilan-financier-recet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03-gestion-de-projet/" TargetMode="External" /><Relationship Type="http://schemas.openxmlformats.org/officeDocument/2006/relationships/hyperlink" Id="rId20" Target="../04-audit-existant/" TargetMode="External" /><Relationship Type="http://schemas.openxmlformats.org/officeDocument/2006/relationships/hyperlink" Id="rId29" Target="../08-bilan-financier-recet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2026-09-02T00:18:21Z</dcterms:created>
  <dcterms:modified xsi:type="dcterms:W3CDTF">2026-09-02T00:18:21Z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